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</w:rPr>
        <w:drawing>
          <wp:inline distB="0" distT="0" distL="0" distR="0">
            <wp:extent cx="1095375" cy="923925"/>
            <wp:effectExtent b="0" l="0" r="0" t="0"/>
            <wp:docPr descr="logoDEYAK" id="1" name="image1.jpg"/>
            <a:graphic>
              <a:graphicData uri="http://schemas.openxmlformats.org/drawingml/2006/picture">
                <pic:pic>
                  <pic:nvPicPr>
                    <pic:cNvPr descr="logoDEYAK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2678.0" w:type="dxa"/>
        <w:jc w:val="center"/>
        <w:tblLayout w:type="fixed"/>
        <w:tblLook w:val="0400"/>
      </w:tblPr>
      <w:tblGrid>
        <w:gridCol w:w="1970"/>
        <w:gridCol w:w="236"/>
        <w:gridCol w:w="236"/>
        <w:gridCol w:w="236"/>
        <w:tblGridChange w:id="0">
          <w:tblGrid>
            <w:gridCol w:w="1970"/>
            <w:gridCol w:w="236"/>
            <w:gridCol w:w="236"/>
            <w:gridCol w:w="23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5.0" w:type="dxa"/>
        <w:jc w:val="center"/>
        <w:tblLayout w:type="fixed"/>
        <w:tblLook w:val="0400"/>
      </w:tblPr>
      <w:tblGrid>
        <w:gridCol w:w="3510"/>
        <w:gridCol w:w="270"/>
        <w:gridCol w:w="5835"/>
        <w:tblGridChange w:id="0">
          <w:tblGrid>
            <w:gridCol w:w="3510"/>
            <w:gridCol w:w="270"/>
            <w:gridCol w:w="5835"/>
          </w:tblGrid>
        </w:tblGridChange>
      </w:tblGrid>
      <w:tr>
        <w:trPr>
          <w:cantSplit w:val="0"/>
          <w:trHeight w:val="295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ind w:right="-514.842519685039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ΔΗΜΟΤΙΚΗ ΕΠΙΧΕΙΡΗΣΗ ΥΔΡΕΥΣΗΣ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-514.8425196850392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ΑΠΟΧΕΤΕΥΣΗΣ ΚΟΖΑΝΗΣ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right="-514.8425196850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13"/>
                <w:szCs w:val="13"/>
                <w:vertAlign w:val="superscript"/>
                <w:rtl w:val="0"/>
              </w:rPr>
              <w:t xml:space="preserve">ο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χλμ. Π.Ε.Ο. Κοζάνης – Θεσσαλονίκης,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right="-514.8425196850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ΤΚ 501 00 Κοζάνη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right="-514.8425196850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Τηλ:  +30 24610 51500 / 51523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right="-514.8425196850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Φαξ: +30 24610 51550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right="-89.645669291338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Email:panousis.vasilios@gmail.com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right="-514.84251968503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Πληροφορίες : κ. Πανούσης Βασίλειο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ind w:left="1700.7874015748034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ΑΝΤΙΚΕΙΜΕΝΟ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700.78740157480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1700.78740157480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ΠΡΟΜΗΘΕΙΑ  ΣΤΟΙΧΕΙΩΝ ΕΝΑΛΛΑΓΗΣ ΘΕΡΜΙΚΩΝ ΥΠΟΣΤΑΘΜΩΝ ΚΑΤΑΝΑΛΩΤΩΝ ΤΗΛΕΘΕΡΜΑΝΣΗΣ ΚΟΖΑΝΗΣ ΓΙΑ ΤΙΣ ΠΕΡΙΟΔΟΥΣ ΛΕΙΤΟΥΡΓΙΑΣ 2022/2023 &amp; 2023/2024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700.78740157480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700.7874015748034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CPV: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42511100-2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gridSpan w:val="3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ΑΡΙΘΜΟΣ ΑΝΑΦΟΡΑΣ: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Τ/Θ 0444/2022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ΠΡΟΫΠΟΛΟΓΙΖΟΜΕΝΗ ΔΑΠΑΝΗ: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79.162,00 € πλέον ΦΠΑ 24%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ΧΡΗΜΑΤΟΔΟΤΗΣΗ:ΙΔΙΟΙ ΠΟΡΟΙ – 100%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.96875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Κ.Α. :  24-00-00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ΠΑΡΑΡΤΗΜΑ E’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ΦΥΛΛΟ ΣΥΜΜΟΡΦΩΣΗΣ</w:t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334000" cy="278883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88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ΚΟΖΑΝΗ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ΙΟΥΛΙΟΣ 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3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lasSouv" w:cs="HellasSouv" w:eastAsia="HellasSouv" w:hAnsi="HellasSouv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1133.8582677165355" w:top="1133.8582677165355" w:left="1133.8582677165355" w:right="1020.472440944882" w:header="567" w:footer="56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ΦΥΛΛΟ ΣΥΜΟΡΦΩΣΗΣ ΤΕΧΝΙΚΩΝ ΠΡΟΔΙΑΓΡΑΦΩΝ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83.795275590555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42.3777537101545"/>
        <w:gridCol w:w="1943.2829435354042"/>
        <w:gridCol w:w="2314.4718203904818"/>
        <w:gridCol w:w="1593.9287064953317"/>
        <w:gridCol w:w="3198.774732898166"/>
        <w:gridCol w:w="1593.9287064953317"/>
        <w:gridCol w:w="3297.0306120656865"/>
        <w:tblGridChange w:id="0">
          <w:tblGrid>
            <w:gridCol w:w="742.3777537101545"/>
            <w:gridCol w:w="1943.2829435354042"/>
            <w:gridCol w:w="2314.4718203904818"/>
            <w:gridCol w:w="1593.9287064953317"/>
            <w:gridCol w:w="3198.774732898166"/>
            <w:gridCol w:w="1593.9287064953317"/>
            <w:gridCol w:w="3297.030612065686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a61c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Α/Α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61c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ΚΩΔΙΚΟΣ ΥΛΙΚΟΥ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61c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ΤΕΧΝΙΚΗ ΠΡΟΔΙΑΓΡΑΦΗ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61c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ΑΝΑΦΟΡΑ ΣΤΟ ΚΕΙΜΕΝΟ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61c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ΟΥΣΙΑΣΤΙΚΗ ΑΠΑΙΤΗΣΗ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61c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ΑΠΑΝΤΗΣΗ ( ΝΑΙ / ΟΧΙ)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61c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ΠΑΡΑΠΟΜΠΗ ΣΕ ΤΕΧΝΙΚΗ ΑΝΑΦΟΡΑ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7"/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Α. ΤΕΧΝΙΚΑ ΧΑΡΑΚΤΗΡΙΣΤΙΚΑ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Τύπος εναλλάκτη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Επαλλήλων συγκολούμενων εν θερμώ πλακών μη διαρούμενοι (Brazed Plate Heat Exchangers)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Μέσο εναλλαγής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Υπέρθερμο νερό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Ροή εναλλακτών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Καθαρή αντιρροή Πολλαπλών διαδρομών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Μέγιστη Πίεση λειτουργίας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&gt;= 25 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Μέγιστη Θερμοκρασία λειτουργίας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&gt;= 130 οC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Θερμοκρασίες σχεδιασμού ΠΡΩΤΕΥΟΝΤΟΣ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115 oC / 65 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Θερμοκρασίες σχεδιασμού ΔΕΥΤΕΡΕΥΟΝΤΟΣ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60 oC / 80 oC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Υλικό κατασκευής πλακών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Ανοξείδωτος χάλυβας AISI 316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Υλικό συγκόλησης πλακών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Χαλκός Cu καθαρότητας &gt;= 99,9 %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Συντελεστής ασφαλείας (margin factor)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Β. ΠΑΡΟΧΕΣ ΣΧΕΔΙΑΣΜΟΥ - ΕΠΙΤΡΕΠΌΜΕΝΕΣ ΠΤΩΣΗΣ ΠΙΕΣΗΣ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Παροχές &amp; Πτώσεις Πίεσης Πρωτεύοντος &amp; Δευτερεύοντος κυκλώματος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2 / Σελ.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ΠΙΝΑΚΑΣ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7"/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Γ. ΛΟΙΠΕΣ ΚΑΤΑΣΚΕΥΑΣΤΙΚΕΣ ΑΠΑΙΤΗΣΕΙΣ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Τύπος σύνδεσης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3.1 / Σελ.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Λυόμενη κοχλιωτού τύπου εξωτερικού σπειρώματος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Μονωτικό περίβλημα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3.3 / Σελ.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Προκατασκευασμένο εργοστασιακά λυόμενου τύπου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Υλικό κατασκευής μονωτικού περιβλήματος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3.3 / Σελ.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Διογκωμένη πολυουρεθάνη ελεύθερης CFC με πλαστικό κάλυμμα διαιρούμενο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Ελάχιστο πάχος μονωτικού περιβλήματος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3.3 / Σελ.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&gt;= 30 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Μέγιστος συντελεστής θερμικής αγωγιμότητας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3.3 / Σελ.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&lt;= 0.032 W/m2K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7"/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Δ. ΕΓΓΡΑΦΑ &amp; ΠΙΣΤΟΠΟΙΗΤΙΚΑ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Διαστασιολόγηση - Υπολογισμός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4.1 / Σελ.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Τεύχος / Φύλλο Υπολογισμού και Διαστασιολόγησης ενεργειακής απόδοσης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Διαστασιολόγηση - Υπολογισμός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4.1 / Σελ.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Πιστοποίηση κατά AHRI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Λειτουργική Ικανότητα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4.2 / Σελ.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Διάγραμμα Πίεσης - Θερμοκρασίας (Pressure - Temperature rating)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Πιστοποίηση κατασκευής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4.3 / Σελ.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Πιστοποιητικό Επιθεώρησης 3.1 Β κατά το πρότυπο ΕΝ 10204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Πιστοποίηση κατασκευής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4.3 / Σελ.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Πιστοποιητικό Υδραυλικής δοκιμής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Συνοδευτικά έγγραφα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4.4 / Σελ.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Τεχνικό εγχειρίδιο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Συνοδευτικά έγγραφα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4.4 / Σελ.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Μηχανολογικό Σχέδιο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Συνοδευτικά έγγραφα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4.5 / Σελ.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Εγχειρίδιο εγκατάστασης, συντήρησης &amp; λειτουργίας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Εφαρμογή συστήματος ελέγχου ποιότητας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4.6 / Σελ.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ISO 9001:2015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Εξοπλισμός υπό πίεση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4.6 / Σελ.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Δήλωση συμμόρφωσης κατά PED 97/23 σε συμμόρφωση με την ευρωπαϊκή κατευθυντήρια οδηγία 2014/68/ΕΕ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Περιβαλλοντική συμμόρφωση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4.7 / Σελ.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Πιστοποίηση RoHS 3 (EU 2015/863)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ΗΛΜ Ν.007, ΗΛΜ Ν.008, ΗΛΜ Ν.009, ΗΛΜ Ν.010, ΗΛΜ Ν.011, ΗΛΜ Ν.012, ΗΛΜ Ν.013, ΗΛΜ Ν.014, ΗΛΜ Ν.015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Περιβαλλοντική διαχείριση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Ενότητα 4.8 / Σελ.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 ISO 14001:2015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30j0zll" w:id="0"/>
    <w:bookmarkEnd w:id="0"/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70c0"/>
          <w:sz w:val="24"/>
          <w:szCs w:val="24"/>
        </w:rPr>
        <w:sectPr>
          <w:type w:val="nextPage"/>
          <w:pgSz w:h="11906" w:w="16838" w:orient="landscape"/>
          <w:pgMar w:bottom="992" w:top="1134" w:left="1133" w:right="1021" w:header="567" w:footer="56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Οι προαναφερόμενοι πίνακες στοιχείων τεχνικής προσφοράς πρέπει υποχρεωτικά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επί ποινή αποκλεισμού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να συμπληρωθούν από τον προμηθευτή, με παραπομπή σε συγκεκριμένες σελίδες στις αντίστοιχες αναλυτικές τεχνικές προδιαγραφές της προσφοράς.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Για τη συμπλήρωση των προαναφερόμενων πινάκων συμμόρφωσης, ο Υποψήφιος Ανάδοχος θα πρέπει να έχει υπ’ όψιν του τα παρακάτω: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Στη Στήλη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ΤΕΧΝΙΚΗ ΠΡΟΔΙΑΓΡΑΦΗ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περιγράφονται αναλυτικά οι αντίστοιχοι τεχνικοί όροι, υποχρεώσεις ή επεξηγήσεις, για τα οποία θα πρέπει να δοθούν αντίστοιχες απαντήσεις.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Αν στη στήλη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ΟΥΣΙΑΣΤΙΚΗ ΑΠΑΙΤΗΣΗ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έχει συμπληρωθεί η λέξη ΝΑΙ ή έχουν δοθεί όρια τιμών των ζητούμενων μεγεθών σημαίνει ότι η αντίστοιχη προδιαγραφή είναι υποχρεωτική για τον Υποψήφιο Ανάδοχο και απαιτείται συμμόρφωση, η δε προδιαγραφή ή το αριθμητικό μέγεθος αυτής, ανάλογα με την περίπτωση, θεωρούνται ως απαράβατοι όροι σύμφωνα με την παρούσα Προκήρυξη.  Προσφορές που δεν καλύπτουν πλήρως απαράβατους όρους απορρίπτονται ως απαράδεκτες. Αν η στήλη ΟΥΣΙΑΣΤΙΚΗ ΑΠΑΙΤΗΣΗ δεν έχει συμπληρωθεί με τη λέξη ΝΑΙ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Όπου η απαίτηση εκφράζεται με αριθμητικό μέγεθος, με τη σχέση «μεγαλύτερο ή ίσο» ή «ίσο»,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ή «μικρότερο ή ίσο», ή «μικρότερο» η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ΑΠΑΝΤΗΣΗ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του Υποψήφιου Αναδόχου είναι υποχρεωτικά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με το αριθμητικό μέγεθος, ενώ συνδυαστικά μπορεί να διατυπωθεί και με «ΝΑΙ ‐κόμμα ‐ και το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αριθμητικό μέγεθος» (πχ «ΝΑΙ, 100»).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Σε περίπτωση που το προσφερόμενο μέγεθος είναι μικρότερο από το υποχρεωτικά απαιτούμενο, η τεχνική προσφορά χαρακτηρίζεται «τεχνικά ανεπαρκής και απαράδεκτη» και επιφέρει την απόρριψη της προσφοράς στο σύνολό της, έπειτα από εισήγηση της αρμόδιας Επιτροπής.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Στη στήλη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ΑΠΑΝΤΗΣΗ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σημειώνεται η απάντηση του Υποψήφιου Αναδόχου που έχει τη μορφή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ΝΑΙ/ΟΧΙ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Προσφορά. Απλή κατάφαση ή επεξήγηση δεν αποτελεί απόδειξη πλήρωσης της προδιαγραφής και η Επιτροπή έχει την υποχρέωση ελέγχου και επιβεβαίωσης της πλήρωσης της απαίτησης μέσα από προσφορά του Υποψηφίου και με χρήση των παραπομπών που δίνονται.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Στη στήλη ΠΑΡΑΠΟΜΠΗ ΣΕ ΕΔΑΦΙΟ ΤΗΣ ΤΕΧΝΙΚΗΣ ΠΡΟΣΦΟΡΑΣ 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υπηρεσιών, του εξοπλισμού ή του τρόπου διασύνδεσης και λειτουργίας ή αναφορές μεθοδολογίας εγκατάστασης και υποστήριξης κλπ., που κατά την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κρίση του Υποψηφίου Αναδόχου τεκμηριώνουν τα στοιχεία των Πινάκων Συμμόρφωσης.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Αντίστοιχα, στο τεχνικό φυλλάδιο (αν υποβάλλεται σε έντυπη μορφή) ή στην αναφορά, θα σημανθεί (πχ υπογραμμιστεί)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. Η σήμανση των παραπομπών θα πρέπει να είναι η πλέον σαφής κατά περίπτωση, ώστε η Επιτροπή να μπορεί να επιβεβαιώνει την κάλυψη των απαιτήσεων. Σε περίπτωση ασαφειών παραπομπών, οι συναφείς προδιαγραφές είναι δυνατόν να χαρακτηρίζονται ως «μη καλυπτόμενες» κατά την κρίση της επιτροπής.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 πίνακας συμπληρώνεται πλήρως και σε όλο του το εύρος. Ο υποψήφιος απαντά και τοποθετείται σε όλα τα πεδία του πίνακα, ώστε να φαίνεται η πληρότητα και η ολοκλήρωση της πρότασής του.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 πίνακας συμπληρώνεται και παρουσιάζεται με την ίδια τάξη, σειρά, θέση και αρίθμηση, όπως ακριβώς αναπτύσσεται στην παρούσα Προκήρυξη.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Ο πίνακας συμπληρώνεται με αποκλειστική ευθύνη των Υποψηφίων Αναδόχων.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Τονίζεται ότι είναι υποχρεωτική, επί ποινή αποκλεισμού, η απάντηση σε όλα τα σημεία των ΠΙΝΑΚΩΝ ΣΥΜΜΟΡΦΩΣΗΣ και η παροχή όλων των πληροφοριών που ζητούνται.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5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Κοζάνη 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/0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5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5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6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Ο ΣΥΝΤΑΞΑΣ</w:t>
        <w:tab/>
        <w:tab/>
        <w:tab/>
        <w:tab/>
        <w:t xml:space="preserve">     </w:t>
        <w:tab/>
        <w:t xml:space="preserve">       </w:t>
        <w:tab/>
        <w:tab/>
        <w:t xml:space="preserve">ΕΛΕΓΧΘΗΚΕ / ΘΕΩΡΗΘΗΚΕ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6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6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ΑΝΤΩΝΙΑΔΗΣ ΧΡΗΣΤΟΣ</w:t>
        <w:tab/>
        <w:tab/>
        <w:tab/>
        <w:tab/>
        <w:t xml:space="preserve">       </w:t>
        <w:tab/>
        <w:tab/>
        <w:t xml:space="preserve">ΠΑΝΟΥΣΗΣ Ι. ΒΑΣΙΛΕΙΟΣ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6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Προϊστάμενος Τμήματος Εξυπηρέτησης Πελατών</w:t>
        <w:tab/>
        <w:tab/>
        <w:tab/>
        <w:t xml:space="preserve">Δ/ΝΤΗΣ ΥΠΗΡΕΣΙΑΣ ΤΗΛ/ΝΣΗΣ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835"/>
        </w:tabs>
        <w:spacing w:after="0" w:before="0" w:line="240" w:lineRule="auto"/>
        <w:ind w:left="0" w:right="6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3.8582677165355" w:top="1133.8582677165355" w:left="1133.8582677165355" w:right="1020.472440944882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HellasSouv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ΠΑΡΑΡΤΗΜΑ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Ε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’ -  Φύλλο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σ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υμμόρφωσης τεχνικών προδιαγραφών                                                   Σελ.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spacing w:after="160" w:line="259" w:lineRule="auto"/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“ΠΡΟΜΗΘΕΙΑ ΣΤΟΙΧΕΙΩΝ ΕΝΑΛΛΑΓΗΣ ΘΕΡΜΙΚΩΝ ΥΠΟΣΤΑΘΜΩΝ ΚΑΤΑΝΑΛΩΤΩΝ ΤΗΛΕΘΕΡΜΑΝΣΗΣ ΚΟΖΑΝΗΣ ΓΙΑ ΤΙΣ ΠΕΡΙΟΔΟΥΣ ΛΕΙΤΟΥΡΓΙΑΣ 2022/2023 &amp; 2023/2024” - Αριθμός αναφοράς : ΤΘ 0444/202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lasSouv" w:cs="HellasSouv" w:eastAsia="HellasSouv" w:hAnsi="HellasSouv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