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C953" w14:textId="77777777" w:rsidR="00A4079C" w:rsidRDefault="00A4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43285" w14:textId="77777777" w:rsidR="00A4079C" w:rsidRDefault="00A4079C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5"/>
        <w:tblW w:w="1020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53"/>
        <w:gridCol w:w="3156"/>
        <w:gridCol w:w="2557"/>
        <w:gridCol w:w="2436"/>
      </w:tblGrid>
      <w:tr w:rsidR="00A4079C" w14:paraId="0CFAB79A" w14:textId="77777777">
        <w:trPr>
          <w:jc w:val="center"/>
        </w:trPr>
        <w:tc>
          <w:tcPr>
            <w:tcW w:w="2053" w:type="dxa"/>
          </w:tcPr>
          <w:p w14:paraId="7092E916" w14:textId="77777777" w:rsidR="00A4079C" w:rsidRDefault="0015537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3D309B9A" wp14:editId="0CCE4987">
                  <wp:extent cx="1095375" cy="923925"/>
                  <wp:effectExtent l="0" t="0" r="0" b="0"/>
                  <wp:docPr id="1" name="image1.jpg" descr="logoDEYA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DEYAK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14:paraId="4F04E9DA" w14:textId="77777777" w:rsidR="00A4079C" w:rsidRDefault="00A4079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7" w:type="dxa"/>
          </w:tcPr>
          <w:p w14:paraId="0A8C2997" w14:textId="77777777" w:rsidR="00A4079C" w:rsidRDefault="00A4079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36" w:type="dxa"/>
          </w:tcPr>
          <w:p w14:paraId="3E242DB8" w14:textId="77777777" w:rsidR="00A4079C" w:rsidRDefault="00A4079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9623490" w14:textId="77777777" w:rsidR="00A4079C" w:rsidRDefault="00A4079C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tbl>
      <w:tblPr>
        <w:tblStyle w:val="a6"/>
        <w:tblW w:w="100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791"/>
        <w:gridCol w:w="2692"/>
        <w:gridCol w:w="3540"/>
      </w:tblGrid>
      <w:tr w:rsidR="00A4079C" w14:paraId="78902F6E" w14:textId="77777777">
        <w:trPr>
          <w:jc w:val="center"/>
        </w:trPr>
        <w:tc>
          <w:tcPr>
            <w:tcW w:w="3791" w:type="dxa"/>
          </w:tcPr>
          <w:p w14:paraId="178732D6" w14:textId="77777777" w:rsidR="00A4079C" w:rsidRDefault="00155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ΔΗΜΟΤΙΚΗ ΕΠΙΧΕΙΡΗΣΗ ΥΔΡΕΥΣΗΣ </w:t>
            </w:r>
          </w:p>
          <w:p w14:paraId="38B5E9E6" w14:textId="77777777" w:rsidR="00A4079C" w:rsidRDefault="00155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ΑΠΟΧΕΤΕΥΣΗΣ ΚΟΖΑΝΗΣ</w:t>
            </w:r>
          </w:p>
          <w:p w14:paraId="35DAF233" w14:textId="77777777" w:rsidR="00A4079C" w:rsidRDefault="00155373">
            <w:pPr>
              <w:spacing w:after="0" w:line="240" w:lineRule="auto"/>
            </w:pPr>
            <w:r>
              <w:t>2</w:t>
            </w:r>
            <w:r>
              <w:rPr>
                <w:vertAlign w:val="superscript"/>
              </w:rPr>
              <w:t>ο</w:t>
            </w:r>
            <w:r>
              <w:t xml:space="preserve"> χλμ. Π.Ε.Ο. Κοζάνης – Θεσσαλονίκης, </w:t>
            </w:r>
          </w:p>
          <w:p w14:paraId="2B8A599B" w14:textId="77777777" w:rsidR="00A4079C" w:rsidRDefault="00155373">
            <w:pPr>
              <w:spacing w:after="0" w:line="240" w:lineRule="auto"/>
            </w:pPr>
            <w:r>
              <w:t>ΤΚ 501 00 Κοζάνη</w:t>
            </w:r>
          </w:p>
          <w:p w14:paraId="759C694B" w14:textId="77777777" w:rsidR="00A4079C" w:rsidRDefault="00155373">
            <w:pPr>
              <w:spacing w:after="0" w:line="240" w:lineRule="auto"/>
            </w:pPr>
            <w:proofErr w:type="spellStart"/>
            <w:r>
              <w:t>Τηλ</w:t>
            </w:r>
            <w:proofErr w:type="spellEnd"/>
            <w:r>
              <w:t>:  +30 24610 51500 / 51523</w:t>
            </w:r>
          </w:p>
          <w:p w14:paraId="0C806839" w14:textId="77777777" w:rsidR="00A4079C" w:rsidRDefault="00155373">
            <w:pPr>
              <w:spacing w:after="0" w:line="240" w:lineRule="auto"/>
            </w:pPr>
            <w:r>
              <w:t>Φαξ: +30 24610 51550</w:t>
            </w:r>
          </w:p>
          <w:p w14:paraId="352AFD7E" w14:textId="77777777" w:rsidR="00A4079C" w:rsidRDefault="00155373">
            <w:pPr>
              <w:spacing w:after="0" w:line="240" w:lineRule="auto"/>
            </w:pPr>
            <w:r>
              <w:t>Email: panousis.vasilios@gmail.com</w:t>
            </w:r>
          </w:p>
          <w:p w14:paraId="4D4B99BF" w14:textId="77777777" w:rsidR="00A4079C" w:rsidRDefault="00155373">
            <w:pPr>
              <w:spacing w:after="0" w:line="240" w:lineRule="auto"/>
            </w:pPr>
            <w:r>
              <w:t>Πληροφορίες : κ. Πανούσης Βασίλειο</w:t>
            </w:r>
          </w:p>
        </w:tc>
        <w:tc>
          <w:tcPr>
            <w:tcW w:w="2692" w:type="dxa"/>
          </w:tcPr>
          <w:p w14:paraId="68561F75" w14:textId="77777777" w:rsidR="00A4079C" w:rsidRDefault="00A4079C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3540" w:type="dxa"/>
          </w:tcPr>
          <w:p w14:paraId="4B01BAFF" w14:textId="77777777" w:rsidR="00A4079C" w:rsidRDefault="00155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ΑΝΤΙΚΕΙΜΕΝΟ :</w:t>
            </w:r>
          </w:p>
          <w:p w14:paraId="1C6FAD45" w14:textId="77777777" w:rsidR="00A4079C" w:rsidRDefault="00A4079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356E160" w14:textId="77777777" w:rsidR="00A4079C" w:rsidRDefault="0015537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«</w:t>
            </w:r>
            <w:r>
              <w:rPr>
                <w:b/>
              </w:rPr>
              <w:t>ΠΡΟΜΗΘΕΙΑ ΑΝΤΑΛΛΑΚΤΙΚΩΝ ΘΕΡΜΙΚΩΝ ΥΠΟΣΤΑΘΜΩΝ ΚΑΤΑΝΑΛΩΤΩΝ ΤΗΛ/ΝΣΗΣ ΚΟΖΑΝΗΣ ΓΙΑ ΤΗΝ ΚΑΛΥΨΗ ΤΩΝ ΑΝΑΓΚΩΝ ΠΕΡΙΟΔΩΝ ΛΕΙΤΟΥΡΓΙΑΣ  2023/2024 &amp; 2024/2025</w:t>
            </w:r>
            <w:r>
              <w:rPr>
                <w:rFonts w:ascii="Arial" w:eastAsia="Arial" w:hAnsi="Arial" w:cs="Arial"/>
                <w:b/>
              </w:rPr>
              <w:t xml:space="preserve">» </w:t>
            </w:r>
          </w:p>
          <w:p w14:paraId="3710C0EB" w14:textId="77777777" w:rsidR="00A4079C" w:rsidRDefault="00A4079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18C5D52F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CPV:34320000-6</w:t>
            </w:r>
          </w:p>
        </w:tc>
      </w:tr>
      <w:tr w:rsidR="00A4079C" w14:paraId="548EF9D2" w14:textId="77777777">
        <w:trPr>
          <w:jc w:val="center"/>
        </w:trPr>
        <w:tc>
          <w:tcPr>
            <w:tcW w:w="3791" w:type="dxa"/>
          </w:tcPr>
          <w:p w14:paraId="4E789A7A" w14:textId="77777777" w:rsidR="00A4079C" w:rsidRDefault="00A4079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92" w:type="dxa"/>
            <w:vAlign w:val="center"/>
          </w:tcPr>
          <w:p w14:paraId="03CB1C8E" w14:textId="77777777" w:rsidR="00A4079C" w:rsidRDefault="00A4079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540" w:type="dxa"/>
            <w:vAlign w:val="bottom"/>
          </w:tcPr>
          <w:p w14:paraId="22132C16" w14:textId="77777777" w:rsidR="00A4079C" w:rsidRDefault="00A4079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4079C" w14:paraId="096A618D" w14:textId="77777777">
        <w:trPr>
          <w:trHeight w:val="759"/>
          <w:jc w:val="center"/>
        </w:trPr>
        <w:tc>
          <w:tcPr>
            <w:tcW w:w="10023" w:type="dxa"/>
            <w:gridSpan w:val="3"/>
            <w:vAlign w:val="center"/>
          </w:tcPr>
          <w:p w14:paraId="0C12BF1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 ΑΝΑΦΟΡΑΣ: Τ/Θ 0477/2023</w:t>
            </w:r>
          </w:p>
          <w:p w14:paraId="463A7C7F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ΠΡΟΫΠΟΛΟΓΙΖΟΜΕΝΗ ΔΑΠΑΝΗ: </w:t>
            </w:r>
            <w:r>
              <w:rPr>
                <w:b/>
                <w:sz w:val="24"/>
                <w:szCs w:val="24"/>
              </w:rPr>
              <w:t>180.000,00 € πλέον ΦΠΑ 24%</w:t>
            </w:r>
          </w:p>
          <w:p w14:paraId="4CC7007C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ΧΡΗΜΑ</w:t>
            </w:r>
            <w:r>
              <w:rPr>
                <w:sz w:val="24"/>
                <w:szCs w:val="24"/>
              </w:rPr>
              <w:t>ΤΟΔΟΤΗΣΗ:ΙΔΙΟΙ ΠΟΡΟΙ – 100%</w:t>
            </w:r>
          </w:p>
        </w:tc>
      </w:tr>
      <w:tr w:rsidR="00A4079C" w14:paraId="69EBF9F0" w14:textId="77777777">
        <w:trPr>
          <w:jc w:val="center"/>
        </w:trPr>
        <w:tc>
          <w:tcPr>
            <w:tcW w:w="3791" w:type="dxa"/>
            <w:vAlign w:val="center"/>
          </w:tcPr>
          <w:p w14:paraId="512D232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Κ.Α. :  24-00-00</w:t>
            </w:r>
          </w:p>
        </w:tc>
        <w:tc>
          <w:tcPr>
            <w:tcW w:w="6232" w:type="dxa"/>
            <w:gridSpan w:val="2"/>
            <w:vAlign w:val="center"/>
          </w:tcPr>
          <w:p w14:paraId="4BAA9391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CE06B58" w14:textId="77777777" w:rsidR="00A4079C" w:rsidRDefault="00A4079C">
      <w:pPr>
        <w:spacing w:after="0" w:line="240" w:lineRule="auto"/>
        <w:jc w:val="center"/>
        <w:rPr>
          <w:b/>
          <w:sz w:val="36"/>
          <w:szCs w:val="36"/>
        </w:rPr>
      </w:pPr>
    </w:p>
    <w:p w14:paraId="6882CBCF" w14:textId="77777777" w:rsidR="00A4079C" w:rsidRDefault="00155373">
      <w:pPr>
        <w:spacing w:after="0" w:line="240" w:lineRule="auto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ΠΑΡΑΡΤΗΜΑ Η’ </w:t>
      </w:r>
    </w:p>
    <w:p w14:paraId="7CD1B0EB" w14:textId="77777777" w:rsidR="00A4079C" w:rsidRDefault="00155373">
      <w:pPr>
        <w:spacing w:after="0" w:line="240" w:lineRule="auto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ΦΥΛΛΟ ΣΥΜΜΟΡΦΩΣΗΣ</w:t>
      </w:r>
    </w:p>
    <w:p w14:paraId="137D16B8" w14:textId="77777777" w:rsidR="00A4079C" w:rsidRDefault="00155373">
      <w:pPr>
        <w:spacing w:after="0" w:line="240" w:lineRule="auto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ΤΕΧΝΙΚΩΝ ΠΡΟΔΙΑΓΡΑΦΩΝ</w:t>
      </w:r>
    </w:p>
    <w:p w14:paraId="40DD4153" w14:textId="77777777" w:rsidR="00A4079C" w:rsidRDefault="001553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inline distT="114300" distB="114300" distL="114300" distR="114300" wp14:anchorId="60E766B4" wp14:editId="285BFD1B">
            <wp:extent cx="3341370" cy="250602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2506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031FD4A3" w14:textId="77777777" w:rsidR="00A4079C" w:rsidRDefault="00155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KOZANH</w:t>
      </w:r>
    </w:p>
    <w:p w14:paraId="772D2FA1" w14:textId="77777777" w:rsidR="00A4079C" w:rsidRDefault="0015537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ΑΥΓΟΥΣΤΟΣ 2023</w:t>
      </w:r>
    </w:p>
    <w:p w14:paraId="1B891919" w14:textId="77777777" w:rsidR="00A4079C" w:rsidRDefault="00A4079C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759483F5" w14:textId="77777777" w:rsidR="00A4079C" w:rsidRDefault="00A4079C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5D9750D4" w14:textId="77777777" w:rsidR="00A4079C" w:rsidRDefault="00A4079C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1104B48D" w14:textId="77777777" w:rsidR="00A4079C" w:rsidRDefault="00155373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br w:type="page"/>
      </w:r>
    </w:p>
    <w:p w14:paraId="7C8F4F66" w14:textId="77777777" w:rsidR="00A4079C" w:rsidRDefault="00A4079C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20E5F584" w14:textId="77777777" w:rsidR="00A4079C" w:rsidRDefault="00A4079C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  <w:sectPr w:rsidR="00A4079C">
          <w:headerReference w:type="default" r:id="rId9"/>
          <w:footerReference w:type="default" r:id="rId10"/>
          <w:pgSz w:w="11906" w:h="16838"/>
          <w:pgMar w:top="1133" w:right="1020" w:bottom="1133" w:left="1133" w:header="708" w:footer="708" w:gutter="0"/>
          <w:pgNumType w:start="1"/>
          <w:cols w:space="720"/>
          <w:titlePg/>
        </w:sectPr>
      </w:pPr>
    </w:p>
    <w:p w14:paraId="31088D5D" w14:textId="77777777" w:rsidR="00A4079C" w:rsidRDefault="00155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Φ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ΥΛΛΟ ΣΥΜΟΡΦΩΣΗΣ ΤΕΧΝΙΚΩΝ ΠΡΟΔΙΑΓΡΑΦΩΝ</w:t>
      </w:r>
    </w:p>
    <w:p w14:paraId="3023FC68" w14:textId="77777777" w:rsidR="00A4079C" w:rsidRDefault="00A4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43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975"/>
        <w:gridCol w:w="5325"/>
        <w:gridCol w:w="1485"/>
        <w:gridCol w:w="2025"/>
        <w:gridCol w:w="1110"/>
        <w:gridCol w:w="2655"/>
      </w:tblGrid>
      <w:tr w:rsidR="00A4079C" w14:paraId="734AB8E9" w14:textId="77777777">
        <w:trPr>
          <w:trHeight w:val="645"/>
          <w:tblHeader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6F087" w14:textId="77777777" w:rsidR="00A4079C" w:rsidRDefault="00155373">
            <w:pPr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66794" w14:textId="77777777" w:rsidR="00A4079C" w:rsidRDefault="00155373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ΚΩΔΙΚΟΣ ΥΛΙΚΟΥ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0480D" w14:textId="77777777" w:rsidR="00A4079C" w:rsidRDefault="0015537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ΤΕΧΝΙΚΗ ΠΡΟΔΙΑΓΡΑΦΗ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8BF6F" w14:textId="77777777" w:rsidR="00A4079C" w:rsidRDefault="00155373">
            <w:pPr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ΑΝΑΦΟΡΑ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505AE" w14:textId="77777777" w:rsidR="00A4079C" w:rsidRDefault="00155373">
            <w:pPr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ΟΥΣΙΑΣΤΙΚΗ ΑΠΑΙΤΗΣΗ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7A8EC" w14:textId="77777777" w:rsidR="00A4079C" w:rsidRDefault="00155373">
            <w:pPr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ΑΠΑΝΤΗΣΗ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82EDE" w14:textId="77777777" w:rsidR="00A4079C" w:rsidRDefault="00155373">
            <w:pPr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ΠΑΡΑΠΟΜΠΗ ΣΕ ΕΔΑΦΙΟ ΤΗΣ ΤΕΧΝΙΚΗΣ ΠΡΟΣΦΟΡΑΣ</w:t>
            </w:r>
          </w:p>
        </w:tc>
      </w:tr>
      <w:tr w:rsidR="00A4079C" w14:paraId="067809C0" w14:textId="77777777">
        <w:trPr>
          <w:trHeight w:val="64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4C0AD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07468" w14:textId="77777777" w:rsidR="00A4079C" w:rsidRDefault="001553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ΗΛΜ Ν.035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E7F2A" w14:textId="77777777" w:rsidR="00A4079C" w:rsidRDefault="00155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ΜΟΝΟΦΑΣΙΚΌΣ ΣΥΓΧΡΟΝΟΣ ΒΗΜΑΤΙΚΟΣ </w:t>
            </w:r>
            <w:r>
              <w:rPr>
                <w:b/>
                <w:sz w:val="18"/>
                <w:szCs w:val="18"/>
              </w:rPr>
              <w:t>ΗΛΕΚΤΡΟΚΙΝΗΤΉΡΑΣ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14FBE" w14:textId="77777777" w:rsidR="00A4079C" w:rsidRDefault="00A4079C">
            <w:pPr>
              <w:spacing w:after="0" w:line="240" w:lineRule="auto"/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CEB90" w14:textId="77777777" w:rsidR="00A4079C" w:rsidRDefault="00A4079C">
            <w:pPr>
              <w:spacing w:after="0" w:line="240" w:lineRule="auto"/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5CE59" w14:textId="77777777" w:rsidR="00A4079C" w:rsidRDefault="00A4079C">
            <w:pPr>
              <w:spacing w:after="0" w:line="240" w:lineRule="auto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A20C5" w14:textId="77777777" w:rsidR="00A4079C" w:rsidRDefault="00A4079C">
            <w:pPr>
              <w:spacing w:after="0" w:line="240" w:lineRule="auto"/>
            </w:pPr>
          </w:p>
        </w:tc>
      </w:tr>
      <w:tr w:rsidR="00A4079C" w14:paraId="443E1BEF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AB89B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8F272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9B49D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Τύπος ηλεκτροκινητήρα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2C38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Τ.Π. – Κεφ.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3D96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Σύγχρονος μονοφασικός </w:t>
            </w:r>
            <w:proofErr w:type="spellStart"/>
            <w:r>
              <w:rPr>
                <w:color w:val="000000"/>
                <w:sz w:val="20"/>
                <w:szCs w:val="20"/>
              </w:rPr>
              <w:t>βηματικός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κινητήρας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70EB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C705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BA3EF95" w14:textId="77777777">
        <w:trPr>
          <w:trHeight w:val="76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27C5D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9BBC6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5796A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Διάταξη ασφαλείας ηλεκτροκινητήρα, συγκράτηση της δικλείδας σε οποιαδήποτε </w:t>
            </w:r>
            <w:r>
              <w:rPr>
                <w:sz w:val="20"/>
                <w:szCs w:val="20"/>
              </w:rPr>
              <w:t>ενδιάμεση</w:t>
            </w:r>
            <w:r>
              <w:rPr>
                <w:color w:val="000000"/>
                <w:sz w:val="20"/>
                <w:szCs w:val="20"/>
              </w:rPr>
              <w:t xml:space="preserve"> θέση της διαδρομής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FB33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Τ.Π. – Κεφ.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B51C6" w14:textId="77777777" w:rsidR="00A4079C" w:rsidRPr="00155373" w:rsidRDefault="0015537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5373">
              <w:rPr>
                <w:color w:val="000000"/>
                <w:sz w:val="20"/>
                <w:szCs w:val="20"/>
                <w:lang w:val="en-US"/>
              </w:rPr>
              <w:t xml:space="preserve">Fail safety action </w:t>
            </w:r>
            <w:r>
              <w:rPr>
                <w:color w:val="000000"/>
                <w:sz w:val="20"/>
                <w:szCs w:val="20"/>
              </w:rPr>
              <w:t>κατά</w:t>
            </w:r>
            <w:r w:rsidRPr="00155373">
              <w:rPr>
                <w:color w:val="000000"/>
                <w:sz w:val="20"/>
                <w:szCs w:val="20"/>
                <w:lang w:val="en-US"/>
              </w:rPr>
              <w:t xml:space="preserve"> DIN EN 14597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CD80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 w:rsidRPr="00155373"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80F6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6C1CDE0" w14:textId="77777777">
        <w:trPr>
          <w:trHeight w:val="493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2B0910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76DE0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EF3A7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Τάση τροφοδοσίας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A6403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B0D4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230 </w:t>
            </w:r>
            <w:proofErr w:type="spellStart"/>
            <w:r>
              <w:rPr>
                <w:color w:val="000000"/>
                <w:sz w:val="20"/>
                <w:szCs w:val="20"/>
              </w:rPr>
              <w:t>Vac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50 </w:t>
            </w:r>
            <w:proofErr w:type="spellStart"/>
            <w:r>
              <w:rPr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9EBB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55DF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35E63D8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3F6CC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1FC395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EEBF1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Δεν θα  απαιτεί συντήρηση στον μηχανισμό </w:t>
            </w:r>
            <w:r>
              <w:rPr>
                <w:sz w:val="20"/>
                <w:szCs w:val="20"/>
              </w:rPr>
              <w:t>μετάδοσης</w:t>
            </w:r>
            <w:r>
              <w:rPr>
                <w:color w:val="000000"/>
                <w:sz w:val="20"/>
                <w:szCs w:val="20"/>
              </w:rPr>
              <w:t xml:space="preserve"> της κίνησης  με κατάλληλο μηχανισμό μετάδοσης της κίνησης επί του αξονίσκου (</w:t>
            </w:r>
            <w:proofErr w:type="spellStart"/>
            <w:r>
              <w:rPr>
                <w:color w:val="000000"/>
                <w:sz w:val="20"/>
                <w:szCs w:val="20"/>
              </w:rPr>
              <w:t>μειωτήρας</w:t>
            </w:r>
            <w:proofErr w:type="spellEnd"/>
            <w:r>
              <w:rPr>
                <w:color w:val="000000"/>
                <w:sz w:val="20"/>
                <w:szCs w:val="20"/>
              </w:rPr>
              <w:t>), και ροπής ικανής να κινήσει την βαλβίδα στις δυσμενέστερες λειτουργικές συνθήκες και με αξονική δύναμη  στον άξονα (</w:t>
            </w:r>
            <w:r>
              <w:rPr>
                <w:color w:val="000000"/>
                <w:sz w:val="20"/>
                <w:szCs w:val="20"/>
              </w:rPr>
              <w:t xml:space="preserve">γραμμικής μορφής)  όχι μικρότερη από </w:t>
            </w:r>
            <w:r>
              <w:rPr>
                <w:sz w:val="20"/>
                <w:szCs w:val="20"/>
              </w:rPr>
              <w:t>450</w:t>
            </w:r>
            <w:r>
              <w:rPr>
                <w:color w:val="000000"/>
                <w:sz w:val="20"/>
                <w:szCs w:val="20"/>
              </w:rPr>
              <w:t xml:space="preserve"> N.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E5AF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84641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0170B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E27E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4AEDCD97" w14:textId="77777777">
        <w:trPr>
          <w:trHeight w:val="80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950E1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0818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533CA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Ελάχιστος βαθμός προστασίας σύμφωνα με το πρότυπο ΕΝ 60529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0A4E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1ECB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&gt;= IP54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2B29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A5F1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3D925EF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F4FF76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91109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F3E78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Θερμοκρασιακό εύρος περιβάλλοντος λειτουργίας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C3DE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FF5F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από 0 </w:t>
            </w:r>
            <w:proofErr w:type="spellStart"/>
            <w:r>
              <w:rPr>
                <w:color w:val="000000"/>
                <w:sz w:val="20"/>
                <w:szCs w:val="20"/>
              </w:rPr>
              <w:t>οC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έως και 45 </w:t>
            </w:r>
            <w:proofErr w:type="spellStart"/>
            <w:r>
              <w:rPr>
                <w:color w:val="000000"/>
                <w:sz w:val="20"/>
                <w:szCs w:val="20"/>
              </w:rPr>
              <w:t>οC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B511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34CE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684A26F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9125A0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5D693B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ACAE1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Κλάση προστασίας ηλεκτροκινητήρα κατά το πρότυπο ΕΝ 61140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620C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3989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Class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23BE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05B8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1FB6F5C" w14:textId="77777777">
        <w:trPr>
          <w:trHeight w:val="57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86C58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4134A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DA57E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Κατηγορία υπερφόρτισης κατά το πρότυπο ΕΝ 60664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2767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6923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Class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3F9A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D8C4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014D24AE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C0806" w14:textId="77777777" w:rsidR="00A4079C" w:rsidRDefault="001553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FC7B5C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56691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Θα </w:t>
            </w:r>
            <w:r>
              <w:rPr>
                <w:sz w:val="20"/>
                <w:szCs w:val="20"/>
              </w:rPr>
              <w:t>συμμορφώνεται</w:t>
            </w:r>
            <w:r>
              <w:rPr>
                <w:color w:val="000000"/>
                <w:sz w:val="20"/>
                <w:szCs w:val="20"/>
              </w:rPr>
              <w:t xml:space="preserve"> ως προς τις απαιτήσεις ηλεκτρομαγνητικής συμβατότητας κατά τα πρότυπα EN 61000 και ΕΝ 61326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CA2F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4B2D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E15D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9696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5CAE6C9A" w14:textId="77777777">
        <w:trPr>
          <w:trHeight w:val="92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4EAA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AA811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E5747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Χρόνος</w:t>
            </w:r>
            <w:r>
              <w:rPr>
                <w:color w:val="000000"/>
                <w:sz w:val="20"/>
                <w:szCs w:val="20"/>
              </w:rPr>
              <w:t xml:space="preserve"> πλήρους ανοίγματος ή πλήρους κλεισίματος της βαλβίδας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6F86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3583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από 35 έως &lt;= 70 </w:t>
            </w:r>
            <w:proofErr w:type="spellStart"/>
            <w:r>
              <w:rPr>
                <w:color w:val="000000"/>
                <w:sz w:val="20"/>
                <w:szCs w:val="20"/>
              </w:rPr>
              <w:t>sec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B6C2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0677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BE3E38B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937C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2CED88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1755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Οριακοί διακόπτες ροπής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04D7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8E8F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DDC3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6025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202076FD" w14:textId="77777777">
        <w:trPr>
          <w:trHeight w:val="102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D50F1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71AB8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8F7B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ΕΓΓΡΑΦΑ ΠΙΣΤΟΠΟΙΗΤΙΚΑ ΤΟΥ  </w:t>
            </w:r>
            <w:r>
              <w:rPr>
                <w:b/>
                <w:sz w:val="20"/>
                <w:szCs w:val="20"/>
              </w:rPr>
              <w:t>ΗΛΕΚΤΡΟΚΙΝΗΤΉΡΑ</w:t>
            </w:r>
            <w:r>
              <w:rPr>
                <w:b/>
                <w:color w:val="000000"/>
                <w:sz w:val="20"/>
                <w:szCs w:val="20"/>
              </w:rPr>
              <w:t xml:space="preserve"> ΡΥΘΜΙΣΗΣ ΦΟΡΤΙΟΥ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3C60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1BEC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007B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59E2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3818DBFF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18C79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6B92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9D3A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Εγγραφο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πιστοποίησης του κατασκευαστή για την εφαρμογή συστήματος ελέγχου ποιότητας (EN ISO 9001:20</w:t>
            </w:r>
            <w:r>
              <w:rPr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A6AC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EAFA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57A5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2A821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5A5DF0E7" w14:textId="77777777">
        <w:trPr>
          <w:trHeight w:val="10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C8F9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D7868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124D8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Πιστοποιητικό </w:t>
            </w:r>
            <w:proofErr w:type="spellStart"/>
            <w:r>
              <w:rPr>
                <w:color w:val="000000"/>
                <w:sz w:val="20"/>
                <w:szCs w:val="20"/>
              </w:rPr>
              <w:t>καταλληλότητας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CE για συμμόρφωση με τις Ευρωπαϊκές Οδηγίες 2014/30/EU (Ηλεκτρομαγνητικά ακτινοβολία) &amp; 2014/35/EU (Ηλεκτρικού εξοπλισμού χαμηλής τάσης)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F3E0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A3D1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5C8C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4A5E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8001CE7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FA12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069A8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317D0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Πιστοποίηση λειτουργίας </w:t>
            </w:r>
            <w:proofErr w:type="spellStart"/>
            <w:r>
              <w:rPr>
                <w:color w:val="000000"/>
                <w:sz w:val="20"/>
                <w:szCs w:val="20"/>
              </w:rPr>
              <w:t>safety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κατά ΕΝ 14597 ή ισοδύναμου προτύπου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5808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1499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1BBD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FFCC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35DF601C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1AAE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52ED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3A5CE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Πιστοποίηση συμμόρφωσης κλάση προστασίας ηλεκτροκινητήρα κατά ΕΝ 61140 ή ισοδύναμου προτύπου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CC1A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DFA3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4BBA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03EA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410B5C30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6DFC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1.18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475D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9A60E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Πιστοποίηση κατηγορίας υπερφόρτισης κατά </w:t>
            </w:r>
            <w:proofErr w:type="spellStart"/>
            <w:r>
              <w:rPr>
                <w:color w:val="000000"/>
                <w:sz w:val="20"/>
                <w:szCs w:val="20"/>
              </w:rPr>
              <w:t>κατά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60664 ή ισοδύναμου προτύπου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41E9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7110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40E0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B2B5D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26CBFFC4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C694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7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F28A7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74525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Πιστοποίηση συμμόρφωσης ως προς τις απαιτήσεις ηλεκτρομαγνητικής συμβατότητας κατά τα πρότυπα EN 61000 και ΕΝ 61326 ή ισοδύναμου προτύπου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451F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86F8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C6EB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0D519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5963556A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FDA5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7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746A5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DED1B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Τεχνικό εγχειρίδιο του κατασκευαστή με την περιγραφή  και τα  λειτουργικά χαρακτηριστικά των προσφερόμενων ηλεκτροκινητήρων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DCB0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2711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9238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5816F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4C3665F2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0B86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1.21</w:t>
            </w:r>
          </w:p>
        </w:tc>
        <w:tc>
          <w:tcPr>
            <w:tcW w:w="97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EE252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D1F49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Σχέδιο – σκαρίφημα &amp; διαστάσεις του εξαρτήματος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5EF8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3479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D559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AADB1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9EF8C18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F1DE7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7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138A1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63C73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Σχέδιο ηλεκτρολογικής συνδεσμολογίας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9D7F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E6CC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EFC0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7A987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37004D97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E257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1.23</w:t>
            </w:r>
          </w:p>
        </w:tc>
        <w:tc>
          <w:tcPr>
            <w:tcW w:w="97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15C7D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62212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Έγγραφες</w:t>
            </w:r>
            <w:r>
              <w:rPr>
                <w:color w:val="000000"/>
                <w:sz w:val="20"/>
                <w:szCs w:val="20"/>
              </w:rPr>
              <w:t xml:space="preserve"> δεσμεύσεις του κατασκευαστή και προμηθευτή και  για την διαθεσιμότητα ανταλλακτικών εξαρτημάτων για ελάχιστη χρονική διάρκεια 10 ετών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5CD5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3D41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CE48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8DFD8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5892D697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D77E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D3E19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3F782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Τεχνικό εγχειρίδιο οδηγιών προληπτικής συντήρησης και αποκατάστασης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B196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B7DA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16BA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ADD26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679CEECE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3F4C4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D1495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B7019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Κατάλογος (</w:t>
            </w:r>
            <w:proofErr w:type="spellStart"/>
            <w:r>
              <w:rPr>
                <w:color w:val="000000"/>
                <w:sz w:val="20"/>
                <w:szCs w:val="20"/>
              </w:rPr>
              <w:t>Parts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list</w:t>
            </w:r>
            <w:proofErr w:type="spellEnd"/>
            <w:r>
              <w:rPr>
                <w:color w:val="000000"/>
                <w:sz w:val="20"/>
                <w:szCs w:val="20"/>
              </w:rPr>
              <w:t>) των ανταλλακτικών μερών του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82C0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CC95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4606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B21A04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43AF1EF6" w14:textId="77777777">
        <w:trPr>
          <w:trHeight w:val="75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E92E1" w14:textId="28F3A042" w:rsidR="00A4079C" w:rsidRPr="00155373" w:rsidRDefault="00155373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586C0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F3263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Υπεύθυνη Δήλωση του προμηθευτή ότι το προϊόν εξακολουθεί να παράγεται και να υποστηρίζεται από τον κατασκευαστή κατά τον χρόνο της προσφοράς.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CFA7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– Κεφ. 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1CD3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9DDD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DF6EEC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64026B4C" w14:textId="77777777">
        <w:trPr>
          <w:trHeight w:val="52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3AB4B" w14:textId="77777777" w:rsidR="00A4079C" w:rsidRDefault="00155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F339D" w14:textId="77777777" w:rsidR="00A4079C" w:rsidRDefault="00155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ΗΛΜ Ν. 42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3BDFEE" w14:textId="77777777" w:rsidR="00A4079C" w:rsidRDefault="001553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ΔΙΑΤΑΞΗ ΡΥΘΜΙΣΗΣ &amp; ΛΕΙΤΟΥΡΓΙΑΣ ΘΕΡΜΙΚΟΥ ΥΠΟΣΤΑΘΜΟΥ(CONTROLLER)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A9BC2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6235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68D7C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EE8F76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16FB389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B1CBF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AB8EF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571B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Τάση τροφοδοσίας προγραμματιστή ρύθμισης και λειτουργίας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8E2A8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Τ.Π. Κεφ.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C2B0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Μονοφασική 230 </w:t>
            </w:r>
            <w:proofErr w:type="spellStart"/>
            <w:r>
              <w:rPr>
                <w:color w:val="000000"/>
                <w:sz w:val="20"/>
                <w:szCs w:val="20"/>
              </w:rPr>
              <w:t>Vac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50 </w:t>
            </w:r>
            <w:proofErr w:type="spellStart"/>
            <w:r>
              <w:rPr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CCB1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8401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EB281E8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747F1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FB2BC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88E8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Ελάχιστος απαιτούμενος χρόνος  διατήρησης δεδομένων λειτουργίας &amp; παραμετροποίησης μετά την διακοπή ηλεκτρικής τροφοδοσίας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0CA64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12B6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&gt;= 10 ώρες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A815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0DF4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4D539CDF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E7653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E2E36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FA23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Μέγιστη μόνιμη επιτρεπόμενη απόκλιση ρυθμιζόμενης θερμοκρασίας προσαγωγής δευτερεύοντος από την απαιτούμενη θερμοκρασία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ECE3B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A746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&lt;=  +-2°C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FFAB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1346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CD72684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5E7D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CBC63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3F72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Μέγιστη στιγμιαία διακύμανση από την απαιτούμενη τιμή της θερμοκρασίας προσαγωγής δευτερεύοντος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DA787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0B26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&lt;=  +-5°C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8AA0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09B0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3CA676CD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D75C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C8625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3296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Η απαιτούμενη τιμή θερμοκρασίας προσαγωγής δευτερεύοντος  θα προκύπτει από την χρήση  καμπυλών  ρύθμισης που θα είναι </w:t>
            </w:r>
            <w:proofErr w:type="spellStart"/>
            <w:r>
              <w:rPr>
                <w:color w:val="000000"/>
                <w:sz w:val="20"/>
                <w:szCs w:val="20"/>
              </w:rPr>
              <w:t>παραμετροποιήσιμες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77CD3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C9DE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621B9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9D2B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AADC1FD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85DA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DBEEF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2CCE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Δυνατότητα μεταβολής της κλίσης της ρυθμιστικής καμπύλης - συνάρτησης "εξωτερική θερμοκρασία </w:t>
            </w:r>
            <w:proofErr w:type="spellStart"/>
            <w:r>
              <w:rPr>
                <w:color w:val="000000"/>
                <w:sz w:val="20"/>
                <w:szCs w:val="20"/>
              </w:rPr>
              <w:t>Τex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θερμοκρασία προσαγωγής δευτερεύοντος </w:t>
            </w:r>
            <w:proofErr w:type="spellStart"/>
            <w:r>
              <w:rPr>
                <w:color w:val="000000"/>
                <w:sz w:val="20"/>
                <w:szCs w:val="20"/>
              </w:rPr>
              <w:t>Ts</w:t>
            </w:r>
            <w:proofErr w:type="spellEnd"/>
            <w:r>
              <w:rPr>
                <w:color w:val="000000"/>
                <w:sz w:val="20"/>
                <w:szCs w:val="20"/>
              </w:rPr>
              <w:t>", ανάλογα και με τις ιδιαίτερες ανάγκες του κτιρίου, από καμπύλη ελάχιστης κλίσης μέχρι και καμπύλη μέγιστης κλίσης.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BEAAC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6B52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F9B5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819A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2768975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7CCF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F1991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4907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Παράλληλη μετατόπιση ρυθμιστικής καμπύλης οποιασδήποτε κλίσης μέχρι αύξησης ή ελάττωσης θερμοκρασίας εσωτερικού χώρου κατά τουλάχιστον 5°C. Αντίστοιχα παράλληλη μετατόπιση ρυθμιστικής καμπύλης για αύξηση ή ελάττωση της θερμοκρασίας του νερού προσαγωγής κατ</w:t>
            </w:r>
            <w:r>
              <w:rPr>
                <w:color w:val="000000"/>
                <w:sz w:val="20"/>
                <w:szCs w:val="20"/>
              </w:rPr>
              <w:t>ά 30°C.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7E9D2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1F20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F077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DD23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0EF63440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4398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0AD5E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7AC2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Καθορισμός ορίου μέγιστης επιτρεπόμενης θερμοκρασίας νερού επιστροφής πρωτεύοντος, εντός εύρους 30°C έως 95°C και με δυνατότητα μεταβολής του παραπάνω ορίου ανάλογα με την επιλεγόμενη επιθυμητή ρυθμιστική καμπύλη θερμοκρασίας επιστροφής (αντιστάθμιση θερμο</w:t>
            </w:r>
            <w:r>
              <w:rPr>
                <w:color w:val="000000"/>
                <w:sz w:val="20"/>
                <w:szCs w:val="20"/>
              </w:rPr>
              <w:t>κρασίας επιστροφής), . Θα καθορίζεται ταυτόχρονα και η μέγιστη και ελάχιστη επιθυμητή τιμή της θερμοκρασίας επιστροφής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3B560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1E49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C327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E94B3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69D5A63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F3D7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6ADC5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E50B5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Καθορισμός μέγιστης επιτρεπόμενης θερμοκρασίας νερού προσαγωγής στα θερμαντικά σώματα, αλλά και καθορισμός ελάχιστης θερμοκρασίας νερού προσαγωγής στα θερμαντικά σώματα (εύρους και στις δύο περιπτώσεις: 30°C - 100°C)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22D2D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C063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484BC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8F96E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53E88DEA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1577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53F5B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C58B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Παράκαμψη του συστήματος αντιστάθμισης και συνεπώς κλείσιμο της ρυθμιστικής </w:t>
            </w:r>
            <w:proofErr w:type="spellStart"/>
            <w:r>
              <w:rPr>
                <w:sz w:val="20"/>
                <w:szCs w:val="20"/>
              </w:rPr>
              <w:t>ηλεκτροβάνας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για εξωτερική θερμοκρασία πάνω από ρυθμιζόμενη επιθυμητή εξωτερική </w:t>
            </w:r>
            <w:r>
              <w:rPr>
                <w:color w:val="000000"/>
                <w:sz w:val="20"/>
                <w:szCs w:val="20"/>
              </w:rPr>
              <w:lastRenderedPageBreak/>
              <w:t>θερμοκρασία (επιλογή επιθυμητή μέσω κατάλληλου προγραμματισμού).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63D8A4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AF0F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AB7A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3600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0A8C061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936E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B2CA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CF77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Δυνατότητα ελέγχου, μέσω χειροκίνητης  επιλογής, των βασικών λειτουργιών του ελεγκτή όπως επιλογή κανονικού ή μειωμένου προγράμματος, χρονοπρογράμματος και πρόγραμμα </w:t>
            </w:r>
            <w:proofErr w:type="spellStart"/>
            <w:r>
              <w:rPr>
                <w:color w:val="000000"/>
                <w:sz w:val="20"/>
                <w:szCs w:val="20"/>
              </w:rPr>
              <w:t>αντιπαγετικής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λειτουργίας από </w:t>
            </w:r>
            <w:proofErr w:type="spellStart"/>
            <w:r>
              <w:rPr>
                <w:color w:val="000000"/>
                <w:sz w:val="20"/>
                <w:szCs w:val="20"/>
              </w:rPr>
              <w:t>επιλογικό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περιστροφικό διακόπτη πάνω στον ελεγκτή καθώς και </w:t>
            </w:r>
            <w:r>
              <w:rPr>
                <w:color w:val="000000"/>
                <w:sz w:val="20"/>
                <w:szCs w:val="20"/>
              </w:rPr>
              <w:t>από το αισθητήριο εσωτερικού χώρου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F0A58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C91B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FA2E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C86A7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4555C0D0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913B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6427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00FF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Δυνατότητα ρύθμισης του χρόνου απόκρισης της ρύθμισης, ανάλογα με το είδος (θερμοχωρητικότητα δομικών στοιχείων) του κτιρίου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2516D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A876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88AB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DD58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09325FB2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2BAE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96433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5AD0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Δυνατότητα χρονικού προγραμματισμού εβδομάδας, ημέρας, Σαββατοκύριακου και αργιών. Ο ημερήσιος προγραμματισμός σε τρία τουλάχιστον διαστήματα. Δυνατότητα διαφοροποίησης μειωμένης λειτουργίας ημέρας και μειωμένης λειτουργίας νύχτας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CB23A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E2F8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130E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E850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32B6E537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DF6C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0CBDE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9D77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Δυνατότητα λειτουργίας με προγράμματα βελτιστοποίησης, με στόχο την εξοικονόμηση ενέργειας και την ομαλή λειτουργία του συστήματος, ανάλογα και με τις καιρικές συνθήκες. Οπωσδήποτε θα υπάρχει η δυνατότητα </w:t>
            </w:r>
            <w:proofErr w:type="spellStart"/>
            <w:r>
              <w:rPr>
                <w:color w:val="000000"/>
                <w:sz w:val="20"/>
                <w:szCs w:val="20"/>
              </w:rPr>
              <w:t>προρύθμισης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του μέγιστου χρόνου </w:t>
            </w:r>
            <w:proofErr w:type="spellStart"/>
            <w:r>
              <w:rPr>
                <w:color w:val="000000"/>
                <w:sz w:val="20"/>
                <w:szCs w:val="20"/>
              </w:rPr>
              <w:t>προεκκίνησης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στο βασικό πρόγραμμα βέλτιστης προθέρμανσης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CE06E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AA5C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A626D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C1F3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69B0715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42D1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2.15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2E1D0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5DB83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Δυνατότητα ρύθμισης της υστέρησης του συστήματος σε απότομες αλλαγές των καιρικών συνθηκών και της θερμοκρασίας περιβάλλοντος. Δυνατότητα άρσης κάθε προγράμματος βελτιστοποίησης και προθέρμανσης και εκκίνηση στον </w:t>
            </w:r>
            <w:proofErr w:type="spellStart"/>
            <w:r>
              <w:rPr>
                <w:color w:val="000000"/>
                <w:sz w:val="20"/>
                <w:szCs w:val="20"/>
              </w:rPr>
              <w:t>προρυθμισμένο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χρόνο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0CCAE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68F99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CE40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50B9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48981A07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B9F4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2.16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B0B64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0BA9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Οταν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για οποιοδήποτε λόγο, η ρυθμιστική </w:t>
            </w:r>
            <w:proofErr w:type="spellStart"/>
            <w:r>
              <w:rPr>
                <w:sz w:val="20"/>
                <w:szCs w:val="20"/>
              </w:rPr>
              <w:t>ηλεκτροβάνα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κλείνει τελείως, τότε και μετά παρέλευση σύντομου χρόνου (περίπου 2 λεπτών) θα μεταβάλλεται η κατάσταση δύο επαφών (επαφών </w:t>
            </w:r>
            <w:proofErr w:type="spellStart"/>
            <w:r>
              <w:rPr>
                <w:sz w:val="20"/>
                <w:szCs w:val="20"/>
              </w:rPr>
              <w:t>ρελέ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η μία Ν.Ο. η άλλη N.C., ικανότητας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220V, 10 </w:t>
            </w:r>
            <w:proofErr w:type="spellStart"/>
            <w:r>
              <w:rPr>
                <w:color w:val="000000"/>
                <w:sz w:val="20"/>
                <w:szCs w:val="20"/>
              </w:rPr>
              <w:t>A.α.c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.), προκειμένου να υπάρχει η δυνατότητα σταματήματος της λειτουργίας του </w:t>
            </w:r>
            <w:proofErr w:type="spellStart"/>
            <w:r>
              <w:rPr>
                <w:color w:val="000000"/>
                <w:sz w:val="20"/>
                <w:szCs w:val="20"/>
              </w:rPr>
              <w:t>κυκλ</w:t>
            </w:r>
            <w:r>
              <w:rPr>
                <w:color w:val="000000"/>
                <w:sz w:val="20"/>
                <w:szCs w:val="20"/>
              </w:rPr>
              <w:t>οφορητού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της εγκατάστασης δευτερεύοντος. Οι παραπάνω επαφές θα είναι προστατευμένες έναντι επαφής. Επίσης ο κυκλοφορητής θα κλείνει όταν κλείνουν οι </w:t>
            </w:r>
            <w:proofErr w:type="spellStart"/>
            <w:r>
              <w:rPr>
                <w:color w:val="000000"/>
                <w:sz w:val="20"/>
                <w:szCs w:val="20"/>
              </w:rPr>
              <w:t>ηλεκτροβάνες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των πελατών (αυτονομίες)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23235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CD37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D8C57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BFBD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0F9A7C4D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B529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D233C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D723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Βαθμός προστασίας προγραμματιστή ρύθμισης &amp; λειτουργίας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465E6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61D4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&gt;= IP40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EA01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03DA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0E11A176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F4BC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2.18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AAE70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2F1C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Ο προγραμματιστής θα έχει τη δυνατότητα, μέσω επιλογής στο πρόγραμμά του, για ‘χειροκίνητη’ λειτουργία και έλεγχο σωστής λειτουργίας της ηλεκτροκίνητης βαλβίδας. Η δυνατότητα αυτή θα παρέχεται αποκλειστικά για έλεγχο κι όχι σαν κανονική επιλογή λειτουργίας</w:t>
            </w:r>
            <w:r>
              <w:rPr>
                <w:color w:val="000000"/>
                <w:sz w:val="20"/>
                <w:szCs w:val="20"/>
              </w:rPr>
              <w:t>, θα ενεργοποιείται δε με τρόπο που να μην είναι δυνατή η επιλογή της από αναρμόδια πρόσωπα (π.χ. ενοίκους), παρά μόνο από το προσωπικό του φορέα λειτουργίας της εγκατάστασης τηλεθέρμανσης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23922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69F0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F829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0E94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6715DC5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BD18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2.19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31C70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6C51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Ελάχιστος αριθμός εισόδων αισθητηρίων θερμοκρασίας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3B303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741A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&gt;=5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E42B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13B6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06E4066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74FF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2.20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3AB3E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D54B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Δυνατότητα εξυπηρέτησης κυκλώματος νερού χρήσης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8FA75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D108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FE37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5E63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2F8B166B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9502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2.21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51D3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DDB0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Αναλογική είσοδος 4-20 </w:t>
            </w:r>
            <w:proofErr w:type="spellStart"/>
            <w:r>
              <w:rPr>
                <w:color w:val="000000"/>
                <w:sz w:val="20"/>
                <w:szCs w:val="20"/>
              </w:rPr>
              <w:t>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για τον έλεγχο και περιορισμό παροχής και θερμικής ισχύος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7BF61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5DC6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5586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6D19F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EC532B4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7C52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2.22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2A76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C220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Βηματική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έξοδος για τον έλεγχο της ηλεκτροκίνητης ρυθμιστικής δικλείδας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1848A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6657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077E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5A12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52A1D16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7313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8786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0DF4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Βηματική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έξοδος για τον έλεγχο της ηλεκτροκίνητης δικλείδας κυκλώματος νερού χρήσης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E1FC3C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965D0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C4CB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884C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0C1A2D69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A8C3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2.24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D1EEC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2F9A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Ψηφιακή έξοδος για τον έλεγχο του κυκλοφορητή κυκλώματος θέρμανσης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F5016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0111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D7D6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163A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FA54E98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CB9E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2.25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5E6C9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3622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Ψηφιακή έξοδος για τον έλεγχο του κυκλοφορητή κυκλώματος νερού χρήσης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8F6F8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72D2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D3A8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BB17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B4E4F31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507F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2.26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06EF8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DF5D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Δυνατότητα συνεργασίας με την μονάδα μεταδότη παλμών από το θερμιδόμετρο για τον έλεγχο και περιορισμό της ροής &amp; θερμικής ισχύος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BFE9B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37C8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D9A4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3FE4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2D0E6B5A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0F88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9F6FC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4C2A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Αποθήκευση λειτουργικών δεδομένων (</w:t>
            </w:r>
            <w:proofErr w:type="spellStart"/>
            <w:r>
              <w:rPr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logging</w:t>
            </w:r>
            <w:proofErr w:type="spellEnd"/>
            <w:r>
              <w:rPr>
                <w:color w:val="000000"/>
                <w:sz w:val="20"/>
                <w:szCs w:val="20"/>
              </w:rPr>
              <w:t>) σύμφωνα με τις απαιτήσεις των Τ.Π. Κεφ. 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CD88A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BE55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B530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D854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E340630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939E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2.28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E52F1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0B81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Χρήση </w:t>
            </w:r>
            <w:proofErr w:type="spellStart"/>
            <w:r>
              <w:rPr>
                <w:color w:val="000000"/>
                <w:sz w:val="20"/>
                <w:szCs w:val="20"/>
              </w:rPr>
              <w:t>controller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και ως επιτηρητή ρύπανσης του </w:t>
            </w:r>
            <w:proofErr w:type="spellStart"/>
            <w:r>
              <w:rPr>
                <w:color w:val="000000"/>
                <w:sz w:val="20"/>
                <w:szCs w:val="20"/>
              </w:rPr>
              <w:t>εναλλάκτη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37B09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3EDF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C496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91B9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159132A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E2ED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2.29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89C7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671D0" w14:textId="77777777" w:rsidR="00A4079C" w:rsidRDefault="001553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Διεπαφή</w:t>
            </w:r>
            <w:proofErr w:type="spellEnd"/>
            <w:r>
              <w:rPr>
                <w:sz w:val="20"/>
                <w:szCs w:val="20"/>
              </w:rPr>
              <w:t xml:space="preserve"> RS-485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945CE" w14:textId="77777777" w:rsidR="00A4079C" w:rsidRDefault="00155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7C961" w14:textId="77777777" w:rsidR="00A4079C" w:rsidRDefault="001553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54409" w14:textId="77777777" w:rsidR="00A4079C" w:rsidRDefault="001553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FF724" w14:textId="77777777" w:rsidR="00A4079C" w:rsidRDefault="00A407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4079C" w14:paraId="25113E33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13277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2.30 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9AA9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532964" w14:textId="77777777" w:rsidR="00A4079C" w:rsidRDefault="001553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Διεπαφή</w:t>
            </w:r>
            <w:proofErr w:type="spellEnd"/>
            <w:r>
              <w:rPr>
                <w:sz w:val="20"/>
                <w:szCs w:val="20"/>
              </w:rPr>
              <w:t xml:space="preserve"> M-</w:t>
            </w:r>
            <w:proofErr w:type="spellStart"/>
            <w:r>
              <w:rPr>
                <w:sz w:val="20"/>
                <w:szCs w:val="20"/>
              </w:rPr>
              <w:t>bus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7DD42" w14:textId="77777777" w:rsidR="00A4079C" w:rsidRDefault="00155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01774" w14:textId="77777777" w:rsidR="00A4079C" w:rsidRDefault="001553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074E4" w14:textId="77777777" w:rsidR="00A4079C" w:rsidRDefault="001553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107B3" w14:textId="77777777" w:rsidR="00A4079C" w:rsidRDefault="00A407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4079C" w14:paraId="38523A7F" w14:textId="77777777">
        <w:trPr>
          <w:trHeight w:val="85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BF65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2.31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6D40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0072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Προστασία από υπέρταση σύμφωνα με το πρότυπο VDE 0110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E2B84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85F7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Κατηγορία ΙΙ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2288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NAI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9788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4C16960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AF76C" w14:textId="77777777" w:rsidR="00A4079C" w:rsidRDefault="00A407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2C98B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AB52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ΕΓΓΡΑΦΑ &amp; ΠΙΣΤΟΠΟΙΗΤΙΚΑ ΤΗΣ  ΔΙΑΤΑΞΗΣ ΡΥΘΜΙΣΗΣ &amp; ΕΛΕΓΧΟΥ ΛΕΙΤΟΥΡΓΙΑΣ ΘΕΡΜΙΚΟΥ ΥΠΟΣΤΑΘΜΟΥ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3B8D0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5C6C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7712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C82C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3F4D1A7D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46F80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6635B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E7C9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Έγγραφο πιστοποίησης του κατασκευαστή για την εφαρμογή συστήματος ελέγχου ποιότητας της παραγωγής των στοιχείων εναλλαγής (EN ISO 9001:2008)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E8139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055E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D465B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0E20F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2B7B56E2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DFA5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2.31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A8A2B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358EE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Πιστοποιητικό </w:t>
            </w:r>
            <w:proofErr w:type="spellStart"/>
            <w:r>
              <w:rPr>
                <w:color w:val="000000"/>
                <w:sz w:val="20"/>
                <w:szCs w:val="20"/>
              </w:rPr>
              <w:t>καταλληλότητας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CE  για εξοπλισμό χαμηλής τάσης σύμφωνα με την Ευρωπαϊκή οδηγία 2006/95/ΕΚ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77CF9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92467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6B75A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4A2EE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E0A2CDE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0EE7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2.32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87D28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63708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Πιστοποιητικό συμμόρφωσης για την κλάση προστασίας σύμφωνα με το πρότυπο ΕΝ 60529/IEC 529 ή ισοδύναμου εγγράφου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9FD07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9CEE8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87E79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98CD55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3C31681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8053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2.33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CA3D0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52913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Πιστοποιητικό συμμόρφωσης για την κλάση ΙΙ ηλεκτρικής προστασίας σύμφωνα με το πρότυπο VDE0106  ή ισοδύναμου εγγράφου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56E75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B4CF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40D4D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F0295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B94E7F5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2F67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2.34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5A4B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C1182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Πιστοποιητικό συμμόρφωσης για την κλάση ΙΙ ηλεκτρικής προστασίας από υπέρταση σύμφωνα με το πρότυπο VDE0110  ή ισοδύναμου εγγράφου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8A80D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3F66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1AF9B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5A9864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4C281BE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35B3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2.35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082E6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A8F38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Τεχνικό εγχειρίδιο του κατασκευαστή με την περιγραφή, τα  λειτουργικά χαρακτηριστικά και τις δυνατότητες του ηλεκτρονικού προγραμματιστή λειτουργίας.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50CC4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7A89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BD6EB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0A6FA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15E9C6D1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7FCF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2.36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13AC5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86EA2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Οδηγίες εγκατάστασης και λειτουργίας</w:t>
            </w:r>
          </w:p>
          <w:p w14:paraId="5429193D" w14:textId="77777777" w:rsidR="00A4079C" w:rsidRDefault="001553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Τεχνική έκθεση λειτουργίας του ρυθμιστή και ως περιοριστής ροής και ισχύος</w:t>
            </w:r>
          </w:p>
          <w:p w14:paraId="47BA1193" w14:textId="77777777" w:rsidR="00A4079C" w:rsidRDefault="001553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Τεχνική έκθεση λειτουργίας του ρυθμιστή και ως </w:t>
            </w:r>
            <w:proofErr w:type="spellStart"/>
            <w:r>
              <w:rPr>
                <w:color w:val="000000"/>
                <w:sz w:val="20"/>
                <w:szCs w:val="20"/>
              </w:rPr>
              <w:t>καταχωρητή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δεδομένων (</w:t>
            </w:r>
            <w:proofErr w:type="spellStart"/>
            <w:r>
              <w:rPr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logger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14:paraId="48411B21" w14:textId="77777777" w:rsidR="00A4079C" w:rsidRDefault="001553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Τεχνική έκθεση λειτουργίας του ρυθμιστή και ως μονάδα ανίχνευσης έμφραξης </w:t>
            </w:r>
            <w:proofErr w:type="spellStart"/>
            <w:r>
              <w:rPr>
                <w:color w:val="000000"/>
                <w:sz w:val="20"/>
                <w:szCs w:val="20"/>
              </w:rPr>
              <w:t>εναλλάκτη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θερμότητας</w:t>
            </w:r>
          </w:p>
          <w:p w14:paraId="04BA9BF5" w14:textId="77777777" w:rsidR="00A4079C" w:rsidRDefault="001553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Ηλεκ</w:t>
            </w:r>
            <w:r>
              <w:rPr>
                <w:color w:val="000000"/>
                <w:sz w:val="20"/>
                <w:szCs w:val="20"/>
              </w:rPr>
              <w:t>τρολογικό σχέδιο συνδεσμολογίας καταναλωτών κτιρίων με αυτονομία θέρμανσης και χωρίς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FDA6C0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2D5A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C94C8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4A063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42816D1C" w14:textId="77777777">
        <w:trPr>
          <w:trHeight w:val="76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CF30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2.37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428B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BA24A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Σχέδιο – σκαρίφημα &amp; διαστάσεις του εξαρτήματος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DE399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141F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BA0D4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5BC9C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4ACE49AC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3AD1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2.38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4BEC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877C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Ηλεκτρολογικό σχέδιο διασύνδεσης και συνεργασίας του ηλεκτρονικού προγραμματιστή λειτουργίας με τα επί μέρους εξαρτήματα – Επισήμανση διαθέσιμων εισόδων – εξόδων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87EDC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7AF2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6BD2A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3B9DD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63CF4FA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4AE6F" w14:textId="6DCA71A5" w:rsidR="00A4079C" w:rsidRPr="00155373" w:rsidRDefault="00155373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  <w:lang w:val="el-GR"/>
              </w:rPr>
              <w:t>39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4BB4E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27728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Υπεύθυνη Δήλωση του προμηθευτή ότι το προτεινόμενο προϊόν εξακολουθεί να παράγεται και να υποστηρίζεται από τον κατασκευαστή (δεν εμπίπτει στις περιπτώσεις </w:t>
            </w:r>
            <w:proofErr w:type="spellStart"/>
            <w:r>
              <w:rPr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life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ή </w:t>
            </w:r>
            <w:proofErr w:type="spellStart"/>
            <w:r>
              <w:rPr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support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1E882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1BF2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F4C27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96037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C19F616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EC9DF" w14:textId="067E2DC0" w:rsidR="00A4079C" w:rsidRPr="00155373" w:rsidRDefault="00155373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  <w:r>
              <w:rPr>
                <w:color w:val="000000"/>
                <w:sz w:val="20"/>
                <w:szCs w:val="20"/>
                <w:lang w:val="el-GR"/>
              </w:rPr>
              <w:t>0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372E9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BC3B13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Υπεύθυνη δήλωση του  προμηθευτή και  για την διαθεσιμότητα ανταλλακτικών εξαρτημάτων για ελάχιστη χρονική διάρκεια 10 ετών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306FE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015D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3A617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77BED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E199F07" w14:textId="77777777">
        <w:trPr>
          <w:trHeight w:val="629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26C4D" w14:textId="77777777" w:rsidR="00A4079C" w:rsidRDefault="00155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1BCAA" w14:textId="77777777" w:rsidR="00A4079C" w:rsidRDefault="0015537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ΗΛΜ Ν.2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 Ως N.31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F6E71" w14:textId="77777777" w:rsidR="00A4079C" w:rsidRDefault="0015537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ΜΕΤΡΗΤΗΣ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ΡΟΗΣ ΥΠΕΡΗΧΩΝ (ΡΟΟΜΕΤΡΟ)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CD718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478BB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85C93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4478C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41DE27D1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688D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D5E67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B6046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Τύπος </w:t>
            </w:r>
            <w:proofErr w:type="spellStart"/>
            <w:r>
              <w:rPr>
                <w:color w:val="000000"/>
                <w:sz w:val="20"/>
                <w:szCs w:val="20"/>
              </w:rPr>
              <w:t>ροομέτρου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92283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Τ.Π. Κεφ.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DE79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ΥΠΕΡΗΧΩΝ (</w:t>
            </w:r>
            <w:proofErr w:type="spellStart"/>
            <w:r>
              <w:rPr>
                <w:color w:val="000000"/>
                <w:sz w:val="20"/>
                <w:szCs w:val="20"/>
              </w:rPr>
              <w:t>Ultrasonic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594F5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56FC8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C42355A" w14:textId="77777777">
        <w:trPr>
          <w:trHeight w:val="629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A66C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69333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B9E55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Τύπος ρευστού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12FD2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4820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Υπέρθερμο νερό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EE02D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EDA86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4D2FFBDD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57C0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443E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DDE9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Ονομαστική πίεση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03EDC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86420" w14:textId="77777777" w:rsidR="00A4079C" w:rsidRPr="00155373" w:rsidRDefault="0015537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5373">
              <w:rPr>
                <w:color w:val="000000"/>
                <w:sz w:val="20"/>
                <w:szCs w:val="20"/>
                <w:lang w:val="en-US"/>
              </w:rPr>
              <w:t xml:space="preserve">PN 25 bar </w:t>
            </w:r>
            <w:r>
              <w:rPr>
                <w:color w:val="000000"/>
                <w:sz w:val="20"/>
                <w:szCs w:val="20"/>
              </w:rPr>
              <w:t>ή</w:t>
            </w:r>
            <w:r w:rsidRPr="00155373">
              <w:rPr>
                <w:color w:val="000000"/>
                <w:sz w:val="20"/>
                <w:szCs w:val="20"/>
                <w:lang w:val="en-US"/>
              </w:rPr>
              <w:t xml:space="preserve">   PN 16 bar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5F02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 w:rsidRPr="00155373"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BABF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43C7C516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E39C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B8819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0E3C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Μέγιστη επιτρεπόμενη θερμοκρασία λειτουργίας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F01B7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19AC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130 ο C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BA13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42AB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A5AAE1B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0BA9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2949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B09A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Θέση τοποθέτησης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DDFE7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3560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Στην επιστροφή του πρωτεύοντος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8B58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87AC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48844B61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63A2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16C5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629B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Ονομαστική διάμετρος για </w:t>
            </w:r>
            <w:proofErr w:type="spellStart"/>
            <w:r>
              <w:rPr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από 2.5 έως και </w:t>
            </w:r>
            <w:r>
              <w:rPr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m3/h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AF85E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7126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DN 2</w:t>
            </w: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DN 40 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9D4C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3DA2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51815794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C99D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6792B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3129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Ονομαστική διάμετρος για Θ.Υ. από 20 </w:t>
            </w:r>
            <w:proofErr w:type="spellStart"/>
            <w:r>
              <w:rPr>
                <w:color w:val="000000"/>
                <w:sz w:val="20"/>
                <w:szCs w:val="20"/>
              </w:rPr>
              <w:t>Mcal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/h έως και 100 </w:t>
            </w:r>
            <w:proofErr w:type="spellStart"/>
            <w:r>
              <w:rPr>
                <w:color w:val="000000"/>
                <w:sz w:val="20"/>
                <w:szCs w:val="20"/>
              </w:rPr>
              <w:t>Mcal</w:t>
            </w:r>
            <w:proofErr w:type="spellEnd"/>
            <w:r>
              <w:rPr>
                <w:color w:val="000000"/>
                <w:sz w:val="20"/>
                <w:szCs w:val="20"/>
              </w:rPr>
              <w:t>/h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D8FB0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E226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DN 20 </w:t>
            </w:r>
            <w:proofErr w:type="spellStart"/>
            <w:r>
              <w:rPr>
                <w:color w:val="000000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BF1C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88B3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5D48155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9B51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5E60A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6D29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Ονομαστική διάμετρος για Θ.Υ. από 150 </w:t>
            </w:r>
            <w:proofErr w:type="spellStart"/>
            <w:r>
              <w:rPr>
                <w:color w:val="000000"/>
                <w:sz w:val="20"/>
                <w:szCs w:val="20"/>
              </w:rPr>
              <w:t>Mcal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/h έως και 200 </w:t>
            </w:r>
            <w:proofErr w:type="spellStart"/>
            <w:r>
              <w:rPr>
                <w:color w:val="000000"/>
                <w:sz w:val="20"/>
                <w:szCs w:val="20"/>
              </w:rPr>
              <w:t>Mcal</w:t>
            </w:r>
            <w:proofErr w:type="spellEnd"/>
            <w:r>
              <w:rPr>
                <w:color w:val="000000"/>
                <w:sz w:val="20"/>
                <w:szCs w:val="20"/>
              </w:rPr>
              <w:t>/h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8E2B5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E387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DN 25 </w:t>
            </w:r>
            <w:proofErr w:type="spellStart"/>
            <w:r>
              <w:rPr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ή DN</w:t>
            </w:r>
            <w:r>
              <w:rPr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B8C04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4A96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0E5E6AA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25F5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04EB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7BE1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Κλάση ακρίβειας μέτρησης σε συμμόρφωση με την οδηγία MID 2014/32/EC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4070C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F128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&gt;= 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27981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2A7A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0D05609C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EE86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7107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0472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Πιστοποιημένο εύρος ακρίβειας μέτρησης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58DE9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2041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Qs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: </w:t>
            </w:r>
            <w:proofErr w:type="spellStart"/>
            <w:r>
              <w:rPr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2:1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33445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185C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4FD9D35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8015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810B8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6197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Ελάχιστη μετρούμενη παροχή  για </w:t>
            </w:r>
            <w:proofErr w:type="spellStart"/>
            <w:r>
              <w:rPr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2.5 m3/h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BD409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1FCA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&lt;= 5 </w:t>
            </w:r>
            <w:proofErr w:type="spellStart"/>
            <w:r>
              <w:rPr>
                <w:color w:val="000000"/>
                <w:sz w:val="20"/>
                <w:szCs w:val="20"/>
              </w:rPr>
              <w:t>λτ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  <w:szCs w:val="20"/>
              </w:rPr>
              <w:t>ωρα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6E3B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AE69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5A5F582A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4A60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19DE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468F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Ελάχιστη μετρούμενη παροχή  για </w:t>
            </w:r>
            <w:proofErr w:type="spellStart"/>
            <w:r>
              <w:rPr>
                <w:color w:val="000000"/>
                <w:sz w:val="20"/>
                <w:szCs w:val="20"/>
              </w:rPr>
              <w:t>Qp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3.5 m3/h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B735F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5BA6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&lt;= 7 </w:t>
            </w:r>
            <w:proofErr w:type="spellStart"/>
            <w:r>
              <w:rPr>
                <w:color w:val="000000"/>
                <w:sz w:val="20"/>
                <w:szCs w:val="20"/>
              </w:rPr>
              <w:t>λτ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/ώρα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E13A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4207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35338F77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62DA9" w14:textId="77777777" w:rsidR="00A4079C" w:rsidRDefault="001553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25D2C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D4456" w14:textId="77777777" w:rsidR="00A4079C" w:rsidRDefault="001553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Ελάχιστη μετρούμενη παροχή  για </w:t>
            </w:r>
            <w:proofErr w:type="spellStart"/>
            <w:r>
              <w:rPr>
                <w:sz w:val="20"/>
                <w:szCs w:val="20"/>
              </w:rPr>
              <w:t>Qp</w:t>
            </w:r>
            <w:proofErr w:type="spellEnd"/>
            <w:r>
              <w:rPr>
                <w:sz w:val="20"/>
                <w:szCs w:val="20"/>
              </w:rPr>
              <w:t xml:space="preserve"> = 6 m3/h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4391E7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10BA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&lt;= 12 </w:t>
            </w:r>
            <w:proofErr w:type="spellStart"/>
            <w:r>
              <w:rPr>
                <w:sz w:val="20"/>
                <w:szCs w:val="20"/>
              </w:rPr>
              <w:t>λτ</w:t>
            </w:r>
            <w:proofErr w:type="spellEnd"/>
            <w:r>
              <w:rPr>
                <w:sz w:val="20"/>
                <w:szCs w:val="20"/>
              </w:rPr>
              <w:t xml:space="preserve"> /ώρα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9037A" w14:textId="77777777" w:rsidR="00A4079C" w:rsidRDefault="00A407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711D3" w14:textId="77777777" w:rsidR="00A4079C" w:rsidRDefault="00A407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4079C" w14:paraId="4746401B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38A78" w14:textId="77777777" w:rsidR="00A4079C" w:rsidRDefault="001553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3E6F4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AFCB73" w14:textId="77777777" w:rsidR="00A4079C" w:rsidRDefault="001553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Ελάχιστη μετρούμενη παροχή  για </w:t>
            </w:r>
            <w:proofErr w:type="spellStart"/>
            <w:r>
              <w:rPr>
                <w:sz w:val="20"/>
                <w:szCs w:val="20"/>
              </w:rPr>
              <w:t>Qp</w:t>
            </w:r>
            <w:proofErr w:type="spellEnd"/>
            <w:r>
              <w:rPr>
                <w:sz w:val="20"/>
                <w:szCs w:val="20"/>
              </w:rPr>
              <w:t xml:space="preserve"> = 10 m3/h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CC614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7DC2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&lt;= 20 </w:t>
            </w:r>
            <w:proofErr w:type="spellStart"/>
            <w:r>
              <w:rPr>
                <w:sz w:val="20"/>
                <w:szCs w:val="20"/>
              </w:rPr>
              <w:t>λτ</w:t>
            </w:r>
            <w:proofErr w:type="spellEnd"/>
            <w:r>
              <w:rPr>
                <w:sz w:val="20"/>
                <w:szCs w:val="20"/>
              </w:rPr>
              <w:t xml:space="preserve"> /ώρα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5E423" w14:textId="77777777" w:rsidR="00A4079C" w:rsidRDefault="00A407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E0B59" w14:textId="77777777" w:rsidR="00A4079C" w:rsidRDefault="00A407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4079C" w14:paraId="0126087C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61F6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08DB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9555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Περιβαλλοντική κλάση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C86E3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F6B7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Μ1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B56A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8371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22600272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0271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826A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F815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Κλάση ηλεκτρομαγνητικής συμβατότητας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2A0D0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053D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Classes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E1 /E2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C7D7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6712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6CC523A6" w14:textId="77777777">
        <w:trPr>
          <w:trHeight w:val="659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A8D1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324E9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BE70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Τύπος σύνδεσης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A85A2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5510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Λυόμενη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φλαντζωτή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1092 ή κοχλιωτή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21D5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D258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202496C3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58A5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83EB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B8F0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Υλικό σώματος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C0758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28D1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Ανοξείδωτος χάλυβας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B883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49BAA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3214A98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86DB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4D14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D708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Υλικό αισθητηρίων μέτρησης ροής (</w:t>
            </w:r>
            <w:proofErr w:type="spellStart"/>
            <w:r>
              <w:rPr>
                <w:color w:val="000000"/>
                <w:sz w:val="20"/>
                <w:szCs w:val="20"/>
              </w:rPr>
              <w:t>transducers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03B04E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F8D6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Ανοξείδωτος χάλυβας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1A0C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2011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6F7CA98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7754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ABFEC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16AE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Ηλεκτρική τροφοδοσία οργάνου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2F9D54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35ED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3,6V </w:t>
            </w:r>
            <w:proofErr w:type="spellStart"/>
            <w:r>
              <w:rPr>
                <w:color w:val="000000"/>
                <w:sz w:val="20"/>
                <w:szCs w:val="20"/>
              </w:rPr>
              <w:t>dc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9D78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D970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3CF3C59" w14:textId="77777777">
        <w:trPr>
          <w:trHeight w:val="255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42E5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3.21</w:t>
            </w: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39D7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BFB5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Μέγιστη επιτρεπόμενη θερμοκρασία λειτουργίας </w:t>
            </w:r>
            <w:proofErr w:type="spellStart"/>
            <w:r>
              <w:rPr>
                <w:color w:val="000000"/>
                <w:sz w:val="20"/>
                <w:szCs w:val="20"/>
              </w:rPr>
              <w:t>παρεμβυσμάτων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581FC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86A6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&gt;= 150 </w:t>
            </w:r>
            <w:proofErr w:type="spellStart"/>
            <w:r>
              <w:rPr>
                <w:color w:val="000000"/>
                <w:sz w:val="20"/>
                <w:szCs w:val="20"/>
              </w:rPr>
              <w:t>οC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στα 25 </w:t>
            </w:r>
            <w:proofErr w:type="spellStart"/>
            <w:r>
              <w:rPr>
                <w:color w:val="000000"/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7B52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EA0E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315FC415" w14:textId="77777777">
        <w:trPr>
          <w:trHeight w:val="51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ADCE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A4B96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28B0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Βαθμός προστασίας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BE3E8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311C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IP65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CBDC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8682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507EF11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22A67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183EB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E815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ΕΓΓΡΑΦΑ &amp; ΠΙΣΤΟΠΟΙΗΤΙΚΑ ΤΟΥ ΜΕΤΡΗΤΗ ΡΟΗΣ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41469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FE70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E37B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BD78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20A62ACB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6B52A4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E33F8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C9B7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ΚΑΤΑ ΤΟΝ ΧΡΟΝΟ ΥΠΟΒΟΛΗΣ ΠΡΟΣΦΟΡΑΣ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607EB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A7F7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7C6F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83B4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7E3A0F52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C4831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5DEED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5EE3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Έγγραφο πιστοποίησης του κατασκευαστή για την εφαρμογή συστήματος ελέγχου ποιότητας της παραγωγής των στοιχείων εναλλαγής (EN ISO 9001:2008)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0455E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1E00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BF47C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F1CA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23D7CB59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ABDE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3AC77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C4CD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Πιστοποιητικό </w:t>
            </w:r>
            <w:proofErr w:type="spellStart"/>
            <w:r>
              <w:rPr>
                <w:color w:val="000000"/>
                <w:sz w:val="20"/>
                <w:szCs w:val="20"/>
              </w:rPr>
              <w:t>καταλληλότητας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CE  για εξοπλισμό υπό πίεση PED 97/23/EC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1D88E2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934B1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76E6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2321E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04A84D8C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0CC8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43868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4B8EF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Πιστοποιητικό συμμόρφωσης για την απαιτούμενη ακρίβεια μέτρησης κατά MID 2004/22/EC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789C9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D992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8F1F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75C3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53D5AF9C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3988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E3985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1870D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Τεχνικό εγχειρίδιο του κατασκευαστή με την περιγραφή, τα  λειτουργικά χαρακτηριστικά 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6A821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CF2D9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D53C3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B32D17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3E5CD022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ECF0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869AC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9AE58C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Οδηγίες εγκατάστασης και συνδεσμολογίας (ηλεκτρικής και υδραυλικής)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4DB4B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D7EE6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A0F4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9DD5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1C3AE1F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9827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FE2F5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299E8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Σχέδιο – σκαρίφημα με τις  διαστάσεις του εξαρτήματος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74F5F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CAD2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C83FE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08FA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1DC68C11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B946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A3081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397F6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Διάγραμμα απωλειών πίεσης  σε συνάρτηση με την παροχή </w:t>
            </w:r>
            <w:proofErr w:type="spellStart"/>
            <w:r>
              <w:rPr>
                <w:color w:val="000000"/>
                <w:sz w:val="20"/>
                <w:szCs w:val="20"/>
              </w:rPr>
              <w:t>Δp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FLOW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97CB3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1D20B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3C2D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7947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79C" w14:paraId="40FE67A9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E8666" w14:textId="3319D850" w:rsidR="00A4079C" w:rsidRPr="00155373" w:rsidRDefault="00155373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  <w:r>
              <w:rPr>
                <w:sz w:val="20"/>
                <w:szCs w:val="20"/>
                <w:lang w:val="el-GR"/>
              </w:rPr>
              <w:t>0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6A0CA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345E4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Υπεύθυνη Δήλωση του προμηθευτή ότι το προτεινόμενο προϊόν εξακολουθεί να παράγεται και να υποστηρίζεται από </w:t>
            </w:r>
            <w:proofErr w:type="spellStart"/>
            <w:r>
              <w:rPr>
                <w:color w:val="000000"/>
                <w:sz w:val="20"/>
                <w:szCs w:val="20"/>
              </w:rPr>
              <w:t>τν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κατασκευαστή (δεν εμπίπτει στις περιπτώσεις </w:t>
            </w:r>
            <w:proofErr w:type="spellStart"/>
            <w:r>
              <w:rPr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life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ή </w:t>
            </w:r>
            <w:proofErr w:type="spellStart"/>
            <w:r>
              <w:rPr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support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D13E0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015E5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4E1C4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5C68A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0FAB2074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B9BD4" w14:textId="7AB0F425" w:rsidR="00A4079C" w:rsidRPr="00155373" w:rsidRDefault="00155373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60143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B3AE2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Υπεύθυνη δήλωση του  προμηθευτή και  για την διαθεσιμότητα ανταλλακτικών εξαρτημάτων για ελάχιστη χρονική διάρκεια 10 ετών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2EDE3F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0F12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12078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75C42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2DE60B82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8B8C4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4FAA3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02B57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ΚΑΤΑ ΤΟΝ ΧΡΟΝΟ ΠΑΡΑΔΟΣΗΣ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B6047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95C0F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D843D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6FB5E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68EB9902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44334" w14:textId="34A380BB" w:rsidR="00A4079C" w:rsidRPr="00155373" w:rsidRDefault="00155373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31EF2" w14:textId="77777777" w:rsidR="00A4079C" w:rsidRDefault="00A40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709E7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Πιστοποιητικό εργοστασιακής βαθμονόμησης του οργάνου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38A2F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8E77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3C6FF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60285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79C" w14:paraId="3E8F27EB" w14:textId="77777777">
        <w:trPr>
          <w:trHeight w:val="666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9C2C3" w14:textId="130B8B78" w:rsidR="00A4079C" w:rsidRPr="00155373" w:rsidRDefault="00155373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16EEE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99439" w14:textId="77777777" w:rsidR="00A4079C" w:rsidRDefault="00155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Πιστοποιητικό διακρίβωσης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840E7" w14:textId="77777777" w:rsidR="00A4079C" w:rsidRDefault="001553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Τ.Π. Κεφ. 5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E8A80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NAI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42D42" w14:textId="77777777" w:rsidR="00A4079C" w:rsidRDefault="001553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9383D" w14:textId="77777777" w:rsidR="00A4079C" w:rsidRDefault="00A407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4FB3F36" w14:textId="77777777" w:rsidR="00A4079C" w:rsidRDefault="00A4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4B01F" w14:textId="77777777" w:rsidR="00A4079C" w:rsidRDefault="00A4079C">
      <w:pPr>
        <w:spacing w:after="0" w:line="276" w:lineRule="auto"/>
        <w:jc w:val="both"/>
      </w:pPr>
    </w:p>
    <w:p w14:paraId="7FD53CE5" w14:textId="77777777" w:rsidR="00A4079C" w:rsidRDefault="00A4079C">
      <w:pPr>
        <w:spacing w:after="0" w:line="276" w:lineRule="auto"/>
        <w:jc w:val="both"/>
      </w:pPr>
    </w:p>
    <w:p w14:paraId="328E20C4" w14:textId="77777777" w:rsidR="00A4079C" w:rsidRDefault="00A4079C">
      <w:pPr>
        <w:spacing w:after="0" w:line="276" w:lineRule="auto"/>
        <w:jc w:val="both"/>
      </w:pPr>
    </w:p>
    <w:p w14:paraId="118BD78C" w14:textId="77777777" w:rsidR="00A4079C" w:rsidRDefault="00A4079C">
      <w:pPr>
        <w:spacing w:after="0" w:line="276" w:lineRule="auto"/>
        <w:jc w:val="both"/>
      </w:pPr>
    </w:p>
    <w:p w14:paraId="3CD8CF41" w14:textId="77777777" w:rsidR="00A4079C" w:rsidRDefault="00A4079C">
      <w:pPr>
        <w:spacing w:after="0" w:line="276" w:lineRule="auto"/>
        <w:jc w:val="both"/>
      </w:pPr>
    </w:p>
    <w:p w14:paraId="6493CFB2" w14:textId="77777777" w:rsidR="00A4079C" w:rsidRDefault="00A4079C">
      <w:pPr>
        <w:spacing w:after="0" w:line="276" w:lineRule="auto"/>
        <w:jc w:val="both"/>
      </w:pPr>
    </w:p>
    <w:p w14:paraId="1593CCC3" w14:textId="77777777" w:rsidR="00A4079C" w:rsidRDefault="00A4079C">
      <w:pPr>
        <w:spacing w:after="0" w:line="276" w:lineRule="auto"/>
        <w:jc w:val="both"/>
      </w:pPr>
    </w:p>
    <w:p w14:paraId="62231A4C" w14:textId="77777777" w:rsidR="00A4079C" w:rsidRDefault="00A4079C">
      <w:pPr>
        <w:spacing w:after="0" w:line="276" w:lineRule="auto"/>
        <w:jc w:val="both"/>
      </w:pPr>
    </w:p>
    <w:p w14:paraId="77B4BE0E" w14:textId="77777777" w:rsidR="00A4079C" w:rsidRDefault="00A4079C">
      <w:pPr>
        <w:spacing w:after="0" w:line="276" w:lineRule="auto"/>
        <w:jc w:val="both"/>
      </w:pPr>
    </w:p>
    <w:p w14:paraId="6BEC273A" w14:textId="77777777" w:rsidR="00A4079C" w:rsidRDefault="00A4079C">
      <w:pPr>
        <w:spacing w:after="0" w:line="276" w:lineRule="auto"/>
        <w:jc w:val="both"/>
      </w:pPr>
    </w:p>
    <w:p w14:paraId="5DA9DDEB" w14:textId="77777777" w:rsidR="00A4079C" w:rsidRDefault="00A4079C">
      <w:pPr>
        <w:spacing w:after="0" w:line="276" w:lineRule="auto"/>
        <w:jc w:val="both"/>
      </w:pPr>
    </w:p>
    <w:p w14:paraId="58B37855" w14:textId="77777777" w:rsidR="00A4079C" w:rsidRDefault="00A4079C">
      <w:pPr>
        <w:spacing w:after="0" w:line="276" w:lineRule="auto"/>
        <w:jc w:val="both"/>
      </w:pPr>
    </w:p>
    <w:p w14:paraId="781C274C" w14:textId="77777777" w:rsidR="00A4079C" w:rsidRDefault="00A4079C">
      <w:pPr>
        <w:spacing w:after="0" w:line="276" w:lineRule="auto"/>
        <w:jc w:val="both"/>
        <w:sectPr w:rsidR="00A4079C">
          <w:pgSz w:w="16838" w:h="11906" w:orient="landscape"/>
          <w:pgMar w:top="1133" w:right="1020" w:bottom="1133" w:left="1133" w:header="708" w:footer="708" w:gutter="0"/>
          <w:cols w:space="720"/>
        </w:sectPr>
      </w:pPr>
    </w:p>
    <w:p w14:paraId="6B1C8751" w14:textId="77777777" w:rsidR="00A4079C" w:rsidRDefault="00A4079C">
      <w:pPr>
        <w:spacing w:after="0" w:line="276" w:lineRule="auto"/>
        <w:jc w:val="both"/>
      </w:pPr>
    </w:p>
    <w:p w14:paraId="4080203E" w14:textId="77777777" w:rsidR="00A4079C" w:rsidRDefault="00155373">
      <w:pPr>
        <w:spacing w:after="0" w:line="276" w:lineRule="auto"/>
        <w:jc w:val="both"/>
      </w:pPr>
      <w:r>
        <w:rPr>
          <w:color w:val="000000"/>
        </w:rPr>
        <w:t xml:space="preserve">Οι προαναφερόμενοι πίνακες στοιχείων τεχνικής προσφοράς πρέπει υποχρεωτικά </w:t>
      </w:r>
      <w:r>
        <w:rPr>
          <w:b/>
          <w:color w:val="000000"/>
          <w:u w:val="single"/>
        </w:rPr>
        <w:t>επί ποινή αποκλεισμού</w:t>
      </w:r>
      <w:r>
        <w:rPr>
          <w:color w:val="000000"/>
        </w:rPr>
        <w:t xml:space="preserve"> να συμπληρωθούν από τον προμηθευτή, με παραπομπή σε συγκεκριμένες σελίδες στις αντίστοιχες αναλυτικές τεχνικές προδιαγραφές της προσφοράς. </w:t>
      </w:r>
    </w:p>
    <w:p w14:paraId="0E61C112" w14:textId="77777777" w:rsidR="00A4079C" w:rsidRDefault="00A4079C">
      <w:pPr>
        <w:spacing w:after="0" w:line="276" w:lineRule="auto"/>
        <w:jc w:val="both"/>
      </w:pPr>
    </w:p>
    <w:p w14:paraId="57387B25" w14:textId="77777777" w:rsidR="00A4079C" w:rsidRDefault="00155373">
      <w:pPr>
        <w:spacing w:after="0" w:line="276" w:lineRule="auto"/>
        <w:jc w:val="both"/>
      </w:pPr>
      <w:r>
        <w:rPr>
          <w:color w:val="000000"/>
        </w:rPr>
        <w:t xml:space="preserve">Για τη συμπλήρωση </w:t>
      </w:r>
      <w:r>
        <w:rPr>
          <w:color w:val="000000"/>
        </w:rPr>
        <w:t xml:space="preserve">των προαναφερόμενων πινάκων συμμόρφωσης, ο Υποψήφιος </w:t>
      </w:r>
      <w:r>
        <w:t>Προμηθευτής</w:t>
      </w:r>
      <w:r>
        <w:rPr>
          <w:color w:val="000000"/>
        </w:rPr>
        <w:t xml:space="preserve"> θα πρέπει να έχει υπ’ όψη του τα παρακάτω:</w:t>
      </w:r>
    </w:p>
    <w:p w14:paraId="2CD92FB5" w14:textId="77777777" w:rsidR="00A4079C" w:rsidRDefault="00A4079C">
      <w:pPr>
        <w:spacing w:after="0" w:line="276" w:lineRule="auto"/>
        <w:jc w:val="both"/>
      </w:pPr>
    </w:p>
    <w:p w14:paraId="2307F07F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Στη Στήλη </w:t>
      </w:r>
      <w:r>
        <w:rPr>
          <w:b/>
          <w:color w:val="000000"/>
        </w:rPr>
        <w:t>ΤΕΧΝΙΚΗ ΠΡΟΔΙΑΓΡΑΦΗ</w:t>
      </w:r>
      <w:r>
        <w:rPr>
          <w:color w:val="000000"/>
        </w:rPr>
        <w:t>, περιγράφονται αναλυτικά οι αντίστοιχοι τεχνικοί όροι, υποχρεώσεις ή επεξηγήσεις, για τα οποία θα πρέπει να δοθούν αν</w:t>
      </w:r>
      <w:r>
        <w:rPr>
          <w:color w:val="000000"/>
        </w:rPr>
        <w:t>τίστοιχες απαντήσεις.</w:t>
      </w:r>
    </w:p>
    <w:p w14:paraId="02A20564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Αν στη στήλη </w:t>
      </w:r>
      <w:r>
        <w:rPr>
          <w:b/>
          <w:color w:val="000000"/>
        </w:rPr>
        <w:t>ΟΥΣΙΑΣΤΙΚΗ ΑΠΑΙΤΗΣΗ</w:t>
      </w:r>
      <w:r>
        <w:rPr>
          <w:color w:val="000000"/>
        </w:rPr>
        <w:t xml:space="preserve"> έχει συμπληρωθεί η λέξη ΝΑΙ ή έχουν δοθεί όρια τιμών των ζητούμενων μεγεθών σημαίνει ότι η αντίστοιχη προδιαγραφή είναι υποχρεωτική για τον Υποψήφιο </w:t>
      </w:r>
      <w:r>
        <w:t>Προμηθευτή</w:t>
      </w:r>
      <w:r>
        <w:rPr>
          <w:color w:val="000000"/>
        </w:rPr>
        <w:t xml:space="preserve"> και απαιτείται συμμόρφωση, η δε προδιαγρα</w:t>
      </w:r>
      <w:r>
        <w:rPr>
          <w:color w:val="000000"/>
        </w:rPr>
        <w:t xml:space="preserve">φή ή το αριθμητικό μέγεθος αυτής, ανάλογα με την περίπτωση, θεωρούνται ως απαράβατοι όροι σύμφωνα με την παρούσα </w:t>
      </w:r>
      <w:r>
        <w:t>Δια</w:t>
      </w:r>
      <w:r>
        <w:rPr>
          <w:color w:val="000000"/>
        </w:rPr>
        <w:t>κήρυξη.  Προσφορές που δεν καλύπτουν πλήρως απαράβατους όρους απορρίπτονται ως απαράδεκτες. Αν η στήλη ΟΥΣΙΑΣΤΙΚΗ ΑΠΑΙΤΗΣΗ δεν έχει συμπληρω</w:t>
      </w:r>
      <w:r>
        <w:rPr>
          <w:color w:val="000000"/>
        </w:rPr>
        <w:t>θεί με τη λέξη ΝΑΙ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14:paraId="1CB58B39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Όπου η απαίτηση εκφράζεται με αριθμητικό μέγεθος, με τη σχέση «μεγαλύτερο</w:t>
      </w:r>
      <w:r>
        <w:rPr>
          <w:color w:val="000000"/>
        </w:rPr>
        <w:t xml:space="preserve"> ή ίσο» ή «ίσο»,</w:t>
      </w:r>
    </w:p>
    <w:p w14:paraId="7BAABE88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ή «μικρότερο ή ίσο», ή «μικρότερο» η </w:t>
      </w:r>
      <w:r>
        <w:rPr>
          <w:b/>
          <w:color w:val="000000"/>
        </w:rPr>
        <w:t>ΑΠΑΝΤΗΣΗ</w:t>
      </w:r>
      <w:r>
        <w:rPr>
          <w:color w:val="000000"/>
        </w:rPr>
        <w:t xml:space="preserve"> του Υποψήφιου </w:t>
      </w:r>
      <w:r>
        <w:t>Προμηθευτή</w:t>
      </w:r>
      <w:r>
        <w:rPr>
          <w:color w:val="000000"/>
        </w:rPr>
        <w:t xml:space="preserve"> είναι υποχρεωτικά</w:t>
      </w:r>
    </w:p>
    <w:p w14:paraId="605C5A6B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με το αριθμητικό μέγεθος, ενώ συνδυαστικά μπορεί να διατυπωθεί και με «ΝΑΙ ‐κόμμα ‐ και το</w:t>
      </w:r>
    </w:p>
    <w:p w14:paraId="5205B42E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αριθμητικό μέγεθος» (πχ «ΝΑΙ, 100»).</w:t>
      </w:r>
    </w:p>
    <w:p w14:paraId="3FDE2579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Σε περίπτωση που το πρ</w:t>
      </w:r>
      <w:r>
        <w:rPr>
          <w:color w:val="000000"/>
        </w:rPr>
        <w:t>οσφερόμενο μέγεθος είναι μικρότερο από το υποχρεωτικά απαιτούμενο, η τεχνική προσφορά χαρακτηρίζεται «τεχνικά ανεπαρκής και απαράδεκτη» και επιφέρει την απόρριψη της προσφοράς στο σύνολό της, έπειτα από εισήγηση της αρμόδιας Επιτροπής.</w:t>
      </w:r>
    </w:p>
    <w:p w14:paraId="485067DA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Στη στήλη </w:t>
      </w:r>
      <w:r>
        <w:rPr>
          <w:b/>
          <w:color w:val="000000"/>
        </w:rPr>
        <w:t>ΑΠΑΝΤΗΣΗ</w:t>
      </w:r>
      <w:r>
        <w:rPr>
          <w:color w:val="000000"/>
        </w:rPr>
        <w:t xml:space="preserve"> σ</w:t>
      </w:r>
      <w:r>
        <w:rPr>
          <w:color w:val="000000"/>
        </w:rPr>
        <w:t xml:space="preserve">ημειώνεται η απάντηση του Υποψήφιου </w:t>
      </w:r>
      <w:r>
        <w:t>Προμηθευτή</w:t>
      </w:r>
      <w:r>
        <w:rPr>
          <w:color w:val="000000"/>
        </w:rPr>
        <w:t xml:space="preserve"> που έχει τη μορφή</w:t>
      </w:r>
    </w:p>
    <w:p w14:paraId="4FACE851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ΝΑΙ/ΟΧΙ εάν η αντίστοιχη προδιαγραφή </w:t>
      </w:r>
      <w:proofErr w:type="spellStart"/>
      <w:r>
        <w:rPr>
          <w:color w:val="000000"/>
        </w:rPr>
        <w:t>πληρούται</w:t>
      </w:r>
      <w:proofErr w:type="spellEnd"/>
      <w:r>
        <w:rPr>
          <w:color w:val="000000"/>
        </w:rPr>
        <w:t xml:space="preserve"> ή όχι από την Προσφορά ή ένα αριθμητικό μέγεθος που δηλώνει την ποσότητα του αντίστοιχου χαρακτηριστικού στην Προσφορά. Απλή κατάφαση ή επεξήγησ</w:t>
      </w:r>
      <w:r>
        <w:rPr>
          <w:color w:val="000000"/>
        </w:rPr>
        <w:t>η δεν αποτελεί απόδειξη πλήρωσης της προδιαγραφής και η Επιτροπή έχει την υποχρέωση ελέγχου και επιβεβαίωσης της πλήρωσης της απαίτησης μέσα από προσφορά του Υποψηφίου και με χρήση των παραπομπών που δίνονται.</w:t>
      </w:r>
    </w:p>
    <w:p w14:paraId="37594843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Στη στήλη ΠΑΡΑΠΟΜΠΗ ΣΕ ΕΔΑΦΙΟ ΤΗΣ ΤΕΧΝΙΚΗΣ ΠΡΟΣΦΟΡΑΣ 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υπηρεσιών, του εξοπλισμού ή το</w:t>
      </w:r>
      <w:r>
        <w:rPr>
          <w:color w:val="000000"/>
        </w:rPr>
        <w:t>υ τρόπου διασύνδεσης και λειτουργίας ή αναφορές μεθοδολογίας εγκατάστασης και υποστήριξης κλπ., που κατά την</w:t>
      </w:r>
    </w:p>
    <w:p w14:paraId="77360E33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κρίση του Υποψηφίου </w:t>
      </w:r>
      <w:r>
        <w:t>Προμηθευτή</w:t>
      </w:r>
      <w:r>
        <w:rPr>
          <w:color w:val="000000"/>
        </w:rPr>
        <w:t xml:space="preserve"> τεκμηριώνουν τα στοιχεία των Πινάκων Συμμόρφωσης. </w:t>
      </w:r>
    </w:p>
    <w:p w14:paraId="6FCBAEE3" w14:textId="77777777" w:rsidR="00A4079C" w:rsidRDefault="00155373">
      <w:pPr>
        <w:numPr>
          <w:ilvl w:val="0"/>
          <w:numId w:val="2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Αντίστοιχα, στο τεχνικό φυλλάδιο (αν υποβάλλεται σε έντυπη μορφή)</w:t>
      </w:r>
      <w:r>
        <w:rPr>
          <w:color w:val="000000"/>
        </w:rPr>
        <w:t xml:space="preserve"> ή στην αναφορά, θα σημανθεί (πχ υπογραμμιστεί)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. Η σήμανση των παραπομπών θα πρέπει να είναι η πλέον σαφή</w:t>
      </w:r>
      <w:r>
        <w:rPr>
          <w:color w:val="000000"/>
        </w:rPr>
        <w:t>ς κατά περίπτωση, ώστε η Επιτροπή να μπορεί να επιβεβαιώνει την κάλυψη των απαιτήσεων. Σε περίπτωση ασαφειών παραπομπών, οι συναφείς προδιαγραφές είναι δυνατόν να χαρακτηρίζονται ως «μη καλυπτόμενες» κατά την κρίση της επιτροπής.</w:t>
      </w:r>
    </w:p>
    <w:p w14:paraId="74013E1C" w14:textId="77777777" w:rsidR="00A4079C" w:rsidRDefault="00155373">
      <w:pPr>
        <w:spacing w:after="0" w:line="276" w:lineRule="auto"/>
        <w:jc w:val="both"/>
      </w:pPr>
      <w:r>
        <w:rPr>
          <w:color w:val="000000"/>
        </w:rPr>
        <w:lastRenderedPageBreak/>
        <w:t>Ο πίνακας συμπληρώνεται πλ</w:t>
      </w:r>
      <w:r>
        <w:rPr>
          <w:color w:val="000000"/>
        </w:rPr>
        <w:t>ήρως και σε όλο του το εύρος. Ο υποψήφιος απαντά και τοποθετείται σε όλα τα πεδία του πίνακα, ώστε να φαίνεται η πληρότητα και η ολοκλήρωση της πρότασής του.</w:t>
      </w:r>
    </w:p>
    <w:p w14:paraId="6EB8BDEB" w14:textId="77777777" w:rsidR="00A4079C" w:rsidRDefault="00155373">
      <w:pPr>
        <w:spacing w:after="0" w:line="276" w:lineRule="auto"/>
        <w:jc w:val="both"/>
      </w:pPr>
      <w:r>
        <w:rPr>
          <w:color w:val="000000"/>
        </w:rPr>
        <w:t>Ο πίνακας συμπληρώνεται και παρουσιάζεται με την ίδια τάξη, σειρά, θέση και αρίθμηση, όπως ακριβώς</w:t>
      </w:r>
      <w:r>
        <w:rPr>
          <w:color w:val="000000"/>
        </w:rPr>
        <w:t xml:space="preserve"> αναπτύσσεται στην παρούσα Προκήρυξη.</w:t>
      </w:r>
    </w:p>
    <w:p w14:paraId="405AC30D" w14:textId="77777777" w:rsidR="00A4079C" w:rsidRDefault="00155373">
      <w:pPr>
        <w:spacing w:after="0" w:line="276" w:lineRule="auto"/>
        <w:jc w:val="both"/>
      </w:pPr>
      <w:r>
        <w:rPr>
          <w:color w:val="000000"/>
        </w:rPr>
        <w:t xml:space="preserve">Ο πίνακας συμπληρώνεται με αποκλειστική ευθύνη των Υποψηφίων </w:t>
      </w:r>
      <w:r>
        <w:t>Προμηθευτώ</w:t>
      </w:r>
      <w:r>
        <w:rPr>
          <w:color w:val="000000"/>
        </w:rPr>
        <w:t>ν.</w:t>
      </w:r>
    </w:p>
    <w:p w14:paraId="74F9AC1A" w14:textId="77777777" w:rsidR="00A4079C" w:rsidRDefault="00155373">
      <w:pPr>
        <w:spacing w:after="0" w:line="276" w:lineRule="auto"/>
        <w:jc w:val="both"/>
      </w:pPr>
      <w:r>
        <w:rPr>
          <w:color w:val="000000"/>
        </w:rPr>
        <w:t>Τονίζεται ότι είναι υποχρεωτική, επί ποινή αποκλεισμού, η απάντηση σε όλα τα σημεία των ΠΙΝΑΚΩΝ ΣΥΜΜΟΡΦΩΣΗΣ και η παροχή όλων των πληροφοριών που ζητούνται.</w:t>
      </w:r>
    </w:p>
    <w:p w14:paraId="294C4E3E" w14:textId="77777777" w:rsidR="00A4079C" w:rsidRDefault="00155373">
      <w:pPr>
        <w:shd w:val="clear" w:color="auto" w:fill="FFFFFF"/>
        <w:spacing w:after="0" w:line="240" w:lineRule="auto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F627078" w14:textId="77777777" w:rsidR="00A4079C" w:rsidRDefault="00155373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2E81A488" w14:textId="77777777" w:rsidR="00A4079C" w:rsidRDefault="00155373">
      <w:pPr>
        <w:spacing w:after="0" w:line="276" w:lineRule="auto"/>
        <w:ind w:lef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ΚΟΖΑΝΗ ……./……/ 2023</w:t>
      </w:r>
    </w:p>
    <w:p w14:paraId="3E91AF7A" w14:textId="77777777" w:rsidR="00A4079C" w:rsidRDefault="00A4079C">
      <w:pPr>
        <w:spacing w:after="0" w:line="276" w:lineRule="auto"/>
        <w:ind w:left="283"/>
        <w:rPr>
          <w:b/>
          <w:sz w:val="24"/>
          <w:szCs w:val="24"/>
        </w:rPr>
      </w:pPr>
    </w:p>
    <w:p w14:paraId="7605AC64" w14:textId="77777777" w:rsidR="00A4079C" w:rsidRDefault="00155373">
      <w:pPr>
        <w:spacing w:after="0" w:line="276" w:lineRule="auto"/>
        <w:ind w:lef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52B366B2" w14:textId="77777777" w:rsidR="00A4079C" w:rsidRDefault="00A4079C">
      <w:pPr>
        <w:spacing w:after="0" w:line="276" w:lineRule="auto"/>
        <w:ind w:left="283"/>
        <w:rPr>
          <w:b/>
          <w:sz w:val="24"/>
          <w:szCs w:val="24"/>
        </w:rPr>
      </w:pPr>
    </w:p>
    <w:p w14:paraId="4777A9EF" w14:textId="77777777" w:rsidR="00A4079C" w:rsidRDefault="00155373">
      <w:pPr>
        <w:spacing w:after="0" w:line="276" w:lineRule="auto"/>
        <w:ind w:lef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Ο ΣΥΝΤΑΞΑΣ</w:t>
      </w:r>
      <w:r>
        <w:rPr>
          <w:b/>
          <w:sz w:val="24"/>
          <w:szCs w:val="24"/>
        </w:rPr>
        <w:tab/>
        <w:t xml:space="preserve">                           </w:t>
      </w:r>
      <w:r>
        <w:rPr>
          <w:b/>
          <w:sz w:val="24"/>
          <w:szCs w:val="24"/>
        </w:rPr>
        <w:t xml:space="preserve">                     ΕΛΕΓΧΘΗΚΕ / ΘΕΩΡΗΘΗΚΕ</w:t>
      </w:r>
    </w:p>
    <w:p w14:paraId="54BF058C" w14:textId="77777777" w:rsidR="00A4079C" w:rsidRDefault="00155373">
      <w:pPr>
        <w:spacing w:after="0" w:line="276" w:lineRule="auto"/>
        <w:ind w:left="28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F44AFE4" w14:textId="77777777" w:rsidR="00A4079C" w:rsidRDefault="00A4079C">
      <w:pPr>
        <w:spacing w:after="0" w:line="276" w:lineRule="auto"/>
        <w:ind w:left="283"/>
        <w:rPr>
          <w:b/>
          <w:sz w:val="24"/>
          <w:szCs w:val="24"/>
        </w:rPr>
      </w:pPr>
    </w:p>
    <w:p w14:paraId="491C841C" w14:textId="77777777" w:rsidR="00A4079C" w:rsidRDefault="00155373">
      <w:pPr>
        <w:spacing w:after="0" w:line="276" w:lineRule="auto"/>
        <w:ind w:lef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ΑΝΤΩΝΙΑΔΗΣ ΧΡΗΣΤΟΣ</w:t>
      </w:r>
      <w:r>
        <w:rPr>
          <w:b/>
          <w:sz w:val="24"/>
          <w:szCs w:val="24"/>
        </w:rPr>
        <w:tab/>
        <w:t xml:space="preserve">                                      ΠΑΝΟΥΣΗΣ ΒΑΣΙΛΕΙΟΣ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6050E8C" w14:textId="77777777" w:rsidR="00A4079C" w:rsidRDefault="00155373">
      <w:pPr>
        <w:spacing w:after="0" w:line="276" w:lineRule="auto"/>
        <w:ind w:left="283" w:firstLine="43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ΠΡΟΪΣΤΆΜΕΝΟΣ ΤΜΉΜΑΤΟΣ                            Δ/ΝΤΗΣ ΥΠΗΡΕΣΙΑΣ ΤΗΛ/ΝΣΗΣ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          </w:t>
      </w:r>
    </w:p>
    <w:p w14:paraId="6B0BEBAC" w14:textId="77777777" w:rsidR="00A4079C" w:rsidRDefault="00155373">
      <w:pPr>
        <w:spacing w:after="0" w:line="276" w:lineRule="auto"/>
        <w:ind w:left="283" w:firstLine="43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ΕΞΥΠΗΡΈΤΗΣΗΣ ΠΕΛΑΤΕΊΑΣ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</w:t>
      </w:r>
    </w:p>
    <w:p w14:paraId="435D0505" w14:textId="77777777" w:rsidR="00A4079C" w:rsidRDefault="00A4079C">
      <w:pPr>
        <w:spacing w:after="0" w:line="276" w:lineRule="auto"/>
        <w:ind w:left="-567"/>
        <w:rPr>
          <w:b/>
          <w:sz w:val="24"/>
          <w:szCs w:val="24"/>
          <w:u w:val="single"/>
        </w:rPr>
      </w:pPr>
    </w:p>
    <w:p w14:paraId="62965B12" w14:textId="77777777" w:rsidR="00A4079C" w:rsidRDefault="00A4079C">
      <w:pPr>
        <w:rPr>
          <w:rFonts w:ascii="Arial" w:eastAsia="Arial" w:hAnsi="Arial" w:cs="Arial"/>
          <w:b/>
        </w:rPr>
      </w:pPr>
    </w:p>
    <w:sectPr w:rsidR="00A4079C">
      <w:pgSz w:w="11906" w:h="16838"/>
      <w:pgMar w:top="1133" w:right="1020" w:bottom="1133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DAE2" w14:textId="77777777" w:rsidR="00155373" w:rsidRDefault="00155373">
      <w:pPr>
        <w:spacing w:after="0" w:line="240" w:lineRule="auto"/>
      </w:pPr>
      <w:r>
        <w:separator/>
      </w:r>
    </w:p>
  </w:endnote>
  <w:endnote w:type="continuationSeparator" w:id="0">
    <w:p w14:paraId="474587B2" w14:textId="77777777" w:rsidR="00155373" w:rsidRDefault="0015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805A" w14:textId="77777777" w:rsidR="00A4079C" w:rsidRDefault="00A4079C">
    <w:pPr>
      <w:tabs>
        <w:tab w:val="center" w:pos="4153"/>
        <w:tab w:val="right" w:pos="8306"/>
      </w:tabs>
      <w:spacing w:after="0" w:line="240" w:lineRule="auto"/>
      <w:jc w:val="right"/>
    </w:pPr>
  </w:p>
  <w:p w14:paraId="3CE9F34F" w14:textId="77777777" w:rsidR="00A4079C" w:rsidRDefault="00155373">
    <w:pPr>
      <w:tabs>
        <w:tab w:val="center" w:pos="4153"/>
        <w:tab w:val="right" w:pos="8306"/>
      </w:tabs>
      <w:spacing w:after="0" w:line="240" w:lineRule="auto"/>
      <w:jc w:val="right"/>
    </w:pPr>
    <w:r>
      <w:pict w14:anchorId="2495050F">
        <v:rect id="_x0000_i1025" style="width:0;height:1.5pt" o:hralign="center" o:hrstd="t" o:hr="t" fillcolor="#a0a0a0" stroked="f"/>
      </w:pict>
    </w:r>
  </w:p>
  <w:p w14:paraId="7627E5DA" w14:textId="77777777" w:rsidR="00A4079C" w:rsidRDefault="00155373">
    <w:pPr>
      <w:tabs>
        <w:tab w:val="center" w:pos="4153"/>
        <w:tab w:val="right" w:pos="8306"/>
      </w:tabs>
      <w:spacing w:after="0" w:line="240" w:lineRule="auto"/>
      <w:jc w:val="right"/>
    </w:pPr>
    <w:r>
      <w:t xml:space="preserve">ΠΑΡΑΡΤΗΜΑ Η’ - Φύλλο Συμμόρφωσης                                       </w:t>
    </w:r>
    <w:r>
      <w:t xml:space="preserve">               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4542" w14:textId="77777777" w:rsidR="00155373" w:rsidRDefault="00155373">
      <w:pPr>
        <w:spacing w:after="0" w:line="240" w:lineRule="auto"/>
      </w:pPr>
      <w:r>
        <w:separator/>
      </w:r>
    </w:p>
  </w:footnote>
  <w:footnote w:type="continuationSeparator" w:id="0">
    <w:p w14:paraId="67CC6FB6" w14:textId="77777777" w:rsidR="00155373" w:rsidRDefault="0015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649B" w14:textId="77777777" w:rsidR="00A4079C" w:rsidRDefault="00155373">
    <w:pPr>
      <w:pBdr>
        <w:bottom w:val="single" w:sz="6" w:space="0" w:color="000000"/>
      </w:pBdr>
      <w:tabs>
        <w:tab w:val="center" w:pos="4153"/>
        <w:tab w:val="right" w:pos="8306"/>
      </w:tabs>
      <w:spacing w:before="120" w:after="120" w:line="240" w:lineRule="auto"/>
      <w:jc w:val="center"/>
      <w:rPr>
        <w:sz w:val="20"/>
        <w:szCs w:val="20"/>
      </w:rPr>
    </w:pPr>
    <w:r>
      <w:t xml:space="preserve"> </w:t>
    </w:r>
    <w:r>
      <w:rPr>
        <w:sz w:val="20"/>
        <w:szCs w:val="20"/>
      </w:rPr>
      <w:t>«</w:t>
    </w:r>
    <w:r>
      <w:rPr>
        <w:b/>
        <w:sz w:val="20"/>
        <w:szCs w:val="20"/>
      </w:rPr>
      <w:t xml:space="preserve">ΠΡΟΜΗΘΕΙΑ ΑΝΤΑΛΛΑΚΤΙΚΩΝ ΘΕΡΜΙΚΩΝ ΥΠΟΣΤΑΘΜΩΝ ΚΑΤΑΝΑΛΩΤΩΝ ΤΗΛ/ΝΣΗΣ ΚΟΖΑΝΗΣ ΓΙΑ ΤΗΝ ΚΑΛΥΨΗ ΤΩΝ ΑΝΑΓΚΩΝ ΠΕΡΙΟΔΩΝ ΛΕΙΤΟΥΡΓΙΑΣ  2023/2024 &amp; 2024/2025 </w:t>
    </w:r>
    <w:r>
      <w:rPr>
        <w:sz w:val="20"/>
        <w:szCs w:val="20"/>
      </w:rPr>
      <w:t>» - Αριθμός αναφοράς: ΤΘ 0477/2023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A7186"/>
    <w:multiLevelType w:val="multilevel"/>
    <w:tmpl w:val="0854E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74B5783"/>
    <w:multiLevelType w:val="multilevel"/>
    <w:tmpl w:val="1F72B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19519593">
    <w:abstractNumId w:val="0"/>
  </w:num>
  <w:num w:numId="2" w16cid:durableId="173731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9C"/>
    <w:rsid w:val="00155373"/>
    <w:rsid w:val="00A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DBCDD"/>
  <w15:docId w15:val="{728388BE-CDE9-40C2-A734-59BBE306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8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Char0"/>
    <w:uiPriority w:val="99"/>
    <w:unhideWhenUsed/>
    <w:rsid w:val="00155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a"/>
    <w:uiPriority w:val="99"/>
    <w:rsid w:val="00155373"/>
  </w:style>
  <w:style w:type="paragraph" w:styleId="ab">
    <w:name w:val="footer"/>
    <w:basedOn w:val="a"/>
    <w:link w:val="Char1"/>
    <w:uiPriority w:val="99"/>
    <w:unhideWhenUsed/>
    <w:rsid w:val="00155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b"/>
    <w:uiPriority w:val="99"/>
    <w:rsid w:val="0015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3021</Words>
  <Characters>16319</Characters>
  <Application>Microsoft Office Word</Application>
  <DocSecurity>0</DocSecurity>
  <Lines>135</Lines>
  <Paragraphs>38</Paragraphs>
  <ScaleCrop>false</ScaleCrop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Κωνσταντίνος Κουτσούπας</cp:lastModifiedBy>
  <cp:revision>2</cp:revision>
  <dcterms:created xsi:type="dcterms:W3CDTF">2023-08-24T05:49:00Z</dcterms:created>
  <dcterms:modified xsi:type="dcterms:W3CDTF">2023-08-24T05:52:00Z</dcterms:modified>
</cp:coreProperties>
</file>